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EBBD" w14:textId="40A3ADA4" w:rsidR="00F26EF9" w:rsidRPr="004F35A0" w:rsidRDefault="00F26EF9" w:rsidP="00F26EF9">
      <w:pPr>
        <w:rPr>
          <w:rFonts w:cstheme="minorHAnsi"/>
        </w:rPr>
      </w:pPr>
      <w:bookmarkStart w:id="0" w:name="_Hlk79433848"/>
    </w:p>
    <w:p w14:paraId="727B8CEC" w14:textId="5A77CA95" w:rsidR="00F26EF9" w:rsidRPr="004F35A0" w:rsidRDefault="00F26EF9" w:rsidP="00F26EF9">
      <w:pPr>
        <w:rPr>
          <w:rFonts w:cstheme="minorHAnsi"/>
        </w:rPr>
      </w:pPr>
    </w:p>
    <w:p w14:paraId="08DA1CB8" w14:textId="62493B8D" w:rsidR="00F26EF9" w:rsidRPr="004F35A0" w:rsidRDefault="00325998" w:rsidP="00325998">
      <w:pPr>
        <w:jc w:val="center"/>
        <w:rPr>
          <w:rFonts w:cstheme="minorHAnsi"/>
        </w:rPr>
      </w:pPr>
      <w:r w:rsidRPr="004F35A0">
        <w:rPr>
          <w:noProof/>
        </w:rPr>
        <w:drawing>
          <wp:inline distT="0" distB="0" distL="0" distR="0" wp14:anchorId="2E7E7B4C" wp14:editId="454CDBBD">
            <wp:extent cx="5220337" cy="939509"/>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220337" cy="939509"/>
                    </a:xfrm>
                    <a:prstGeom prst="rect">
                      <a:avLst/>
                    </a:prstGeom>
                  </pic:spPr>
                </pic:pic>
              </a:graphicData>
            </a:graphic>
          </wp:inline>
        </w:drawing>
      </w:r>
    </w:p>
    <w:p w14:paraId="328C705F" w14:textId="77777777" w:rsidR="00F26EF9" w:rsidRPr="004F35A0" w:rsidRDefault="00F26EF9" w:rsidP="00F26EF9">
      <w:pPr>
        <w:rPr>
          <w:rFonts w:cstheme="minorHAnsi"/>
        </w:rPr>
      </w:pPr>
    </w:p>
    <w:p w14:paraId="50BFC8D3" w14:textId="77777777" w:rsidR="00F26EF9" w:rsidRPr="004F35A0" w:rsidRDefault="00F26EF9" w:rsidP="00F26EF9">
      <w:pPr>
        <w:rPr>
          <w:rFonts w:cstheme="minorHAnsi"/>
        </w:rPr>
      </w:pPr>
    </w:p>
    <w:p w14:paraId="481161EE" w14:textId="23FC3B8A" w:rsidR="00F26EF9" w:rsidRPr="004F35A0" w:rsidRDefault="00F26EF9" w:rsidP="2C812A0E"/>
    <w:p w14:paraId="55406809" w14:textId="45DA581C" w:rsidR="2C812A0E" w:rsidRDefault="2C812A0E" w:rsidP="2C812A0E"/>
    <w:p w14:paraId="1D2820A0" w14:textId="4AC2285B" w:rsidR="2C812A0E" w:rsidRDefault="2C812A0E" w:rsidP="2C812A0E"/>
    <w:p w14:paraId="223A9D31" w14:textId="74B059F2" w:rsidR="2C812A0E" w:rsidRDefault="2C812A0E" w:rsidP="2C812A0E"/>
    <w:p w14:paraId="53F99041" w14:textId="79F25EAE" w:rsidR="2C812A0E" w:rsidRDefault="2C812A0E" w:rsidP="2C812A0E"/>
    <w:p w14:paraId="5DE6C20C" w14:textId="77777777" w:rsidR="00F26EF9" w:rsidRPr="004F35A0" w:rsidRDefault="00F26EF9" w:rsidP="00F26EF9">
      <w:pPr>
        <w:rPr>
          <w:rFonts w:cstheme="minorHAnsi"/>
        </w:rPr>
      </w:pPr>
    </w:p>
    <w:p w14:paraId="78AF3759" w14:textId="2AD56927" w:rsidR="00F26EF9" w:rsidRPr="004F35A0" w:rsidRDefault="007109B8" w:rsidP="00F26EF9">
      <w:pPr>
        <w:jc w:val="center"/>
        <w:rPr>
          <w:rFonts w:cstheme="minorHAnsi"/>
          <w:b/>
          <w:bCs/>
          <w:color w:val="4472C4" w:themeColor="accent1"/>
          <w:sz w:val="36"/>
          <w:szCs w:val="36"/>
        </w:rPr>
      </w:pPr>
      <w:r w:rsidRPr="004F35A0">
        <w:rPr>
          <w:rFonts w:cstheme="minorHAnsi"/>
          <w:b/>
          <w:bCs/>
          <w:color w:val="4472C4" w:themeColor="accent1"/>
          <w:sz w:val="36"/>
          <w:szCs w:val="36"/>
        </w:rPr>
        <w:t xml:space="preserve">2024 </w:t>
      </w:r>
      <w:r w:rsidR="0081797A" w:rsidRPr="004F35A0">
        <w:rPr>
          <w:rFonts w:cstheme="minorHAnsi"/>
          <w:b/>
          <w:bCs/>
          <w:color w:val="4472C4" w:themeColor="accent1"/>
          <w:sz w:val="36"/>
          <w:szCs w:val="36"/>
        </w:rPr>
        <w:t>FAST TRACK TO MARKET INITIATIVE</w:t>
      </w:r>
      <w:r w:rsidR="0088425C" w:rsidRPr="00F72D60">
        <w:rPr>
          <w:rFonts w:cstheme="minorHAnsi"/>
          <w:b/>
          <w:bCs/>
          <w:color w:val="4472C4" w:themeColor="accent1"/>
          <w:sz w:val="36"/>
          <w:szCs w:val="36"/>
        </w:rPr>
        <w:t xml:space="preserve"> - AUTUMN</w:t>
      </w:r>
    </w:p>
    <w:p w14:paraId="738F5C1D" w14:textId="1B24FA3B" w:rsidR="00F26EF9" w:rsidRPr="004F35A0" w:rsidRDefault="2DA772A3" w:rsidP="2C812A0E">
      <w:pPr>
        <w:ind w:left="3600"/>
        <w:jc w:val="center"/>
        <w:rPr>
          <w:b/>
          <w:bCs/>
          <w:color w:val="4472C4" w:themeColor="accent1"/>
        </w:rPr>
      </w:pPr>
      <w:r w:rsidRPr="2C812A0E">
        <w:rPr>
          <w:b/>
          <w:bCs/>
          <w:sz w:val="32"/>
          <w:szCs w:val="32"/>
        </w:rPr>
        <w:t>NA-IN-24-OC-02</w:t>
      </w:r>
      <w:r w:rsidR="00F26EF9">
        <w:tab/>
      </w:r>
      <w:r w:rsidR="00F26EF9">
        <w:tab/>
      </w:r>
      <w:r w:rsidR="00F26EF9">
        <w:tab/>
      </w:r>
      <w:r w:rsidR="00F26EF9">
        <w:tab/>
      </w:r>
      <w:r w:rsidR="00F26EF9">
        <w:tab/>
      </w:r>
    </w:p>
    <w:p w14:paraId="3F0E4E40" w14:textId="77777777" w:rsidR="00866579" w:rsidRPr="004F35A0" w:rsidRDefault="00866579" w:rsidP="00F26EF9">
      <w:pPr>
        <w:rPr>
          <w:rFonts w:cstheme="minorHAnsi"/>
        </w:rPr>
      </w:pPr>
    </w:p>
    <w:p w14:paraId="0CBCF8C9" w14:textId="77777777" w:rsidR="00866579" w:rsidRPr="004F35A0" w:rsidRDefault="00866579" w:rsidP="00F26EF9">
      <w:pPr>
        <w:rPr>
          <w:rFonts w:cstheme="minorHAnsi"/>
        </w:rPr>
      </w:pPr>
    </w:p>
    <w:p w14:paraId="6341F9EC" w14:textId="77777777" w:rsidR="00866579" w:rsidRPr="004F35A0" w:rsidRDefault="00866579" w:rsidP="00F26EF9">
      <w:pPr>
        <w:rPr>
          <w:rFonts w:cstheme="minorHAnsi"/>
        </w:rPr>
      </w:pPr>
    </w:p>
    <w:p w14:paraId="256AA84D" w14:textId="77777777" w:rsidR="00F26EF9" w:rsidRDefault="00F26EF9" w:rsidP="00F26EF9">
      <w:pPr>
        <w:rPr>
          <w:rFonts w:cstheme="minorHAnsi"/>
        </w:rPr>
      </w:pPr>
    </w:p>
    <w:p w14:paraId="6916B2DE" w14:textId="77777777" w:rsidR="001B45F2" w:rsidRDefault="001B45F2" w:rsidP="00F26EF9">
      <w:pPr>
        <w:rPr>
          <w:rFonts w:cstheme="minorHAnsi"/>
        </w:rPr>
      </w:pPr>
    </w:p>
    <w:p w14:paraId="1DFF544A" w14:textId="77777777" w:rsidR="001B45F2" w:rsidRDefault="001B45F2" w:rsidP="00F26EF9">
      <w:pPr>
        <w:rPr>
          <w:rFonts w:cstheme="minorHAnsi"/>
        </w:rPr>
      </w:pPr>
    </w:p>
    <w:p w14:paraId="71CDF5C3" w14:textId="77777777" w:rsidR="001B45F2" w:rsidRDefault="001B45F2" w:rsidP="00F26EF9">
      <w:pPr>
        <w:rPr>
          <w:rFonts w:cstheme="minorHAnsi"/>
        </w:rPr>
      </w:pPr>
    </w:p>
    <w:p w14:paraId="6679A0A7" w14:textId="77777777" w:rsidR="001B45F2" w:rsidRDefault="001B45F2" w:rsidP="00F26EF9">
      <w:pPr>
        <w:rPr>
          <w:rFonts w:cstheme="minorHAnsi"/>
        </w:rPr>
      </w:pPr>
    </w:p>
    <w:p w14:paraId="6A51094C" w14:textId="77777777" w:rsidR="001B45F2" w:rsidRDefault="001B45F2" w:rsidP="2C812A0E"/>
    <w:p w14:paraId="0205E28A" w14:textId="261B815B" w:rsidR="0088425C" w:rsidRPr="004F35A0" w:rsidRDefault="0088425C" w:rsidP="2C812A0E"/>
    <w:p w14:paraId="700FDAD5" w14:textId="39ED2248" w:rsidR="0088425C" w:rsidRPr="004F35A0" w:rsidRDefault="791E935F" w:rsidP="2C812A0E">
      <w:pPr>
        <w:spacing w:after="0"/>
        <w:rPr>
          <w:rFonts w:ascii="Calibri" w:eastAsia="Calibri" w:hAnsi="Calibri" w:cs="Calibri"/>
          <w:b/>
          <w:bCs/>
        </w:rPr>
      </w:pPr>
      <w:r w:rsidRPr="2C812A0E">
        <w:rPr>
          <w:rFonts w:ascii="Calibri" w:eastAsia="Calibri" w:hAnsi="Calibri" w:cs="Calibri"/>
          <w:b/>
          <w:bCs/>
        </w:rPr>
        <w:t xml:space="preserve">EIT FOOD </w:t>
      </w:r>
    </w:p>
    <w:p w14:paraId="65297939" w14:textId="7AD8D3A3" w:rsidR="0088425C" w:rsidRPr="004F35A0" w:rsidRDefault="791E935F" w:rsidP="2C812A0E">
      <w:pPr>
        <w:spacing w:after="0"/>
      </w:pPr>
      <w:r w:rsidRPr="2C812A0E">
        <w:rPr>
          <w:rFonts w:ascii="Calibri" w:eastAsia="Calibri" w:hAnsi="Calibri" w:cs="Calibri"/>
        </w:rPr>
        <w:t xml:space="preserve">Leuven, Belgium </w:t>
      </w:r>
    </w:p>
    <w:p w14:paraId="13397743" w14:textId="4EEF41FC" w:rsidR="0088425C" w:rsidRPr="004F35A0" w:rsidRDefault="000E6BBC" w:rsidP="2C812A0E">
      <w:pPr>
        <w:spacing w:after="0"/>
      </w:pPr>
      <w:r>
        <w:rPr>
          <w:rFonts w:ascii="Calibri" w:eastAsia="Calibri" w:hAnsi="Calibri" w:cs="Calibri"/>
        </w:rPr>
        <w:t>2</w:t>
      </w:r>
      <w:r w:rsidR="791E935F" w:rsidRPr="2C812A0E">
        <w:rPr>
          <w:rFonts w:ascii="Calibri" w:eastAsia="Calibri" w:hAnsi="Calibri" w:cs="Calibri"/>
        </w:rPr>
        <w:t xml:space="preserve"> </w:t>
      </w:r>
      <w:r>
        <w:rPr>
          <w:rFonts w:ascii="Calibri" w:eastAsia="Calibri" w:hAnsi="Calibri" w:cs="Calibri"/>
        </w:rPr>
        <w:t xml:space="preserve">October </w:t>
      </w:r>
      <w:r w:rsidR="791E935F" w:rsidRPr="2C812A0E">
        <w:rPr>
          <w:rFonts w:ascii="Calibri" w:eastAsia="Calibri" w:hAnsi="Calibri" w:cs="Calibri"/>
        </w:rPr>
        <w:t xml:space="preserve">2024 </w:t>
      </w:r>
    </w:p>
    <w:p w14:paraId="42308F4B" w14:textId="634831E7" w:rsidR="0088425C" w:rsidRDefault="0088425C" w:rsidP="2C812A0E">
      <w:pPr>
        <w:spacing w:after="0"/>
        <w:rPr>
          <w:rFonts w:ascii="Calibri" w:eastAsia="Calibri" w:hAnsi="Calibri" w:cs="Calibri"/>
        </w:rPr>
      </w:pPr>
    </w:p>
    <w:p w14:paraId="742D43CF" w14:textId="77777777" w:rsidR="00450F5B" w:rsidRDefault="00450F5B" w:rsidP="2C812A0E">
      <w:pPr>
        <w:spacing w:after="0"/>
        <w:rPr>
          <w:rFonts w:ascii="Calibri" w:eastAsia="Calibri" w:hAnsi="Calibri" w:cs="Calibri"/>
        </w:rPr>
      </w:pPr>
    </w:p>
    <w:p w14:paraId="2D5EE04D" w14:textId="77777777" w:rsidR="00450F5B" w:rsidRDefault="00450F5B" w:rsidP="2C812A0E">
      <w:pPr>
        <w:spacing w:after="0"/>
        <w:rPr>
          <w:rFonts w:ascii="Calibri" w:eastAsia="Calibri" w:hAnsi="Calibri" w:cs="Calibri"/>
        </w:rPr>
      </w:pPr>
    </w:p>
    <w:p w14:paraId="471D6E27" w14:textId="77777777" w:rsidR="00450F5B" w:rsidRDefault="00450F5B" w:rsidP="2C812A0E">
      <w:pPr>
        <w:spacing w:after="0"/>
        <w:rPr>
          <w:rFonts w:ascii="Calibri" w:eastAsia="Calibri" w:hAnsi="Calibri" w:cs="Calibri"/>
        </w:rPr>
      </w:pPr>
    </w:p>
    <w:p w14:paraId="25BD94CA" w14:textId="77777777" w:rsidR="00450F5B" w:rsidRDefault="00450F5B" w:rsidP="2C812A0E">
      <w:pPr>
        <w:spacing w:after="0"/>
        <w:rPr>
          <w:rFonts w:ascii="Calibri" w:eastAsia="Calibri" w:hAnsi="Calibri" w:cs="Calibri"/>
        </w:rPr>
      </w:pPr>
    </w:p>
    <w:p w14:paraId="023876FE" w14:textId="77777777" w:rsidR="000C08EF" w:rsidRDefault="000C08EF" w:rsidP="2C812A0E">
      <w:pPr>
        <w:spacing w:after="0"/>
        <w:rPr>
          <w:rFonts w:ascii="Calibri" w:eastAsia="Calibri" w:hAnsi="Calibri" w:cs="Calibri"/>
        </w:rPr>
      </w:pPr>
    </w:p>
    <w:p w14:paraId="4C94B034" w14:textId="77777777" w:rsidR="000C08EF" w:rsidRDefault="000C08EF" w:rsidP="2C812A0E">
      <w:pPr>
        <w:spacing w:after="0"/>
        <w:rPr>
          <w:rFonts w:ascii="Calibri" w:eastAsia="Calibri" w:hAnsi="Calibri" w:cs="Calibri"/>
        </w:rPr>
      </w:pPr>
    </w:p>
    <w:p w14:paraId="210961A3" w14:textId="77777777" w:rsidR="00450F5B" w:rsidRPr="004F35A0" w:rsidRDefault="00450F5B" w:rsidP="2C812A0E">
      <w:pPr>
        <w:spacing w:after="0"/>
        <w:rPr>
          <w:rFonts w:ascii="Calibri" w:eastAsia="Calibri" w:hAnsi="Calibri" w:cs="Calibri"/>
        </w:rPr>
      </w:pPr>
    </w:p>
    <w:sdt>
      <w:sdtPr>
        <w:rPr>
          <w:rFonts w:asciiTheme="minorHAnsi" w:eastAsiaTheme="minorEastAsia" w:hAnsiTheme="minorHAnsi" w:cstheme="minorBidi"/>
          <w:noProof/>
          <w:color w:val="auto"/>
          <w:sz w:val="22"/>
          <w:szCs w:val="22"/>
        </w:rPr>
        <w:id w:val="1135490289"/>
        <w:docPartObj>
          <w:docPartGallery w:val="Table of Contents"/>
          <w:docPartUnique/>
        </w:docPartObj>
      </w:sdtPr>
      <w:sdtEndPr/>
      <w:sdtContent>
        <w:p w14:paraId="21FF14D6" w14:textId="6F6F81DA" w:rsidR="00A93207" w:rsidRDefault="0452E0D3" w:rsidP="00262B43">
          <w:pPr>
            <w:pStyle w:val="TOCHeading"/>
            <w:jc w:val="center"/>
          </w:pPr>
          <w:r>
            <w:t>Table of Contents</w:t>
          </w:r>
        </w:p>
        <w:p w14:paraId="35BFA565" w14:textId="1A574114" w:rsidR="004F38B8" w:rsidRDefault="153C3D84" w:rsidP="00262B43">
          <w:pPr>
            <w:pStyle w:val="TOC1"/>
            <w:tabs>
              <w:tab w:val="clear" w:pos="8495"/>
              <w:tab w:val="left" w:pos="435"/>
              <w:tab w:val="right" w:leader="dot" w:pos="8490"/>
            </w:tabs>
            <w:jc w:val="center"/>
            <w:rPr>
              <w:rStyle w:val="Hyperlink"/>
              <w:kern w:val="2"/>
              <w:lang w:eastAsia="en-GB"/>
              <w14:ligatures w14:val="standardContextual"/>
            </w:rPr>
          </w:pPr>
          <w:r>
            <w:fldChar w:fldCharType="begin"/>
          </w:r>
          <w:r w:rsidR="00283527">
            <w:instrText>TOC \o "1-3" \z \u \h</w:instrText>
          </w:r>
          <w:r>
            <w:fldChar w:fldCharType="separate"/>
          </w:r>
          <w:hyperlink w:anchor="_Toc1805848722">
            <w:r w:rsidRPr="153C3D84">
              <w:rPr>
                <w:rStyle w:val="Hyperlink"/>
              </w:rPr>
              <w:t>1.</w:t>
            </w:r>
            <w:r w:rsidR="00283527">
              <w:tab/>
            </w:r>
            <w:r w:rsidRPr="153C3D84">
              <w:rPr>
                <w:rStyle w:val="Hyperlink"/>
              </w:rPr>
              <w:t>Introduction</w:t>
            </w:r>
            <w:r w:rsidR="00283527">
              <w:tab/>
            </w:r>
            <w:r w:rsidR="00283527">
              <w:fldChar w:fldCharType="begin"/>
            </w:r>
            <w:r w:rsidR="00283527">
              <w:instrText>PAGEREF _Toc1805848722 \h</w:instrText>
            </w:r>
            <w:r w:rsidR="00283527">
              <w:fldChar w:fldCharType="separate"/>
            </w:r>
            <w:r w:rsidRPr="153C3D84">
              <w:rPr>
                <w:rStyle w:val="Hyperlink"/>
              </w:rPr>
              <w:t>2</w:t>
            </w:r>
            <w:r w:rsidR="00283527">
              <w:fldChar w:fldCharType="end"/>
            </w:r>
          </w:hyperlink>
        </w:p>
        <w:p w14:paraId="1438E212" w14:textId="0EBA92AB" w:rsidR="004F38B8" w:rsidRDefault="006E1175" w:rsidP="00262B43">
          <w:pPr>
            <w:pStyle w:val="TOC1"/>
            <w:tabs>
              <w:tab w:val="clear" w:pos="8495"/>
              <w:tab w:val="left" w:pos="435"/>
              <w:tab w:val="right" w:leader="dot" w:pos="8490"/>
            </w:tabs>
            <w:jc w:val="center"/>
            <w:rPr>
              <w:rStyle w:val="Hyperlink"/>
              <w:kern w:val="2"/>
              <w:lang w:eastAsia="en-GB"/>
              <w14:ligatures w14:val="standardContextual"/>
            </w:rPr>
          </w:pPr>
          <w:hyperlink w:anchor="_Toc505044155">
            <w:r w:rsidR="153C3D84" w:rsidRPr="153C3D84">
              <w:rPr>
                <w:rStyle w:val="Hyperlink"/>
              </w:rPr>
              <w:t>2.</w:t>
            </w:r>
            <w:r w:rsidR="00054D61">
              <w:tab/>
            </w:r>
            <w:r w:rsidR="153C3D84" w:rsidRPr="153C3D84">
              <w:rPr>
                <w:rStyle w:val="Hyperlink"/>
              </w:rPr>
              <w:t>Purpose and Scope</w:t>
            </w:r>
            <w:r w:rsidR="00054D61">
              <w:tab/>
            </w:r>
            <w:r w:rsidR="00054D61">
              <w:fldChar w:fldCharType="begin"/>
            </w:r>
            <w:r w:rsidR="00054D61">
              <w:instrText>PAGEREF _Toc505044155 \h</w:instrText>
            </w:r>
            <w:r w:rsidR="00054D61">
              <w:fldChar w:fldCharType="separate"/>
            </w:r>
            <w:r w:rsidR="153C3D84" w:rsidRPr="153C3D84">
              <w:rPr>
                <w:rStyle w:val="Hyperlink"/>
              </w:rPr>
              <w:t>3</w:t>
            </w:r>
            <w:r w:rsidR="00054D61">
              <w:fldChar w:fldCharType="end"/>
            </w:r>
          </w:hyperlink>
        </w:p>
        <w:p w14:paraId="65457FDD" w14:textId="6B7FA532" w:rsidR="004F38B8" w:rsidRDefault="006E1175" w:rsidP="00262B43">
          <w:pPr>
            <w:pStyle w:val="TOC1"/>
            <w:tabs>
              <w:tab w:val="clear" w:pos="8495"/>
              <w:tab w:val="left" w:pos="435"/>
              <w:tab w:val="right" w:leader="dot" w:pos="8490"/>
            </w:tabs>
            <w:jc w:val="center"/>
            <w:rPr>
              <w:rStyle w:val="Hyperlink"/>
              <w:kern w:val="2"/>
              <w:lang w:eastAsia="en-GB"/>
              <w14:ligatures w14:val="standardContextual"/>
            </w:rPr>
          </w:pPr>
          <w:hyperlink w:anchor="_Toc1856636091">
            <w:r w:rsidR="153C3D84" w:rsidRPr="153C3D84">
              <w:rPr>
                <w:rStyle w:val="Hyperlink"/>
              </w:rPr>
              <w:t>3.</w:t>
            </w:r>
            <w:r w:rsidR="00054D61">
              <w:tab/>
            </w:r>
            <w:r w:rsidR="153C3D84" w:rsidRPr="153C3D84">
              <w:rPr>
                <w:rStyle w:val="Hyperlink"/>
              </w:rPr>
              <w:t>Overview</w:t>
            </w:r>
            <w:r w:rsidR="00054D61">
              <w:tab/>
            </w:r>
            <w:r w:rsidR="00054D61">
              <w:fldChar w:fldCharType="begin"/>
            </w:r>
            <w:r w:rsidR="00054D61">
              <w:instrText>PAGEREF _Toc1856636091 \h</w:instrText>
            </w:r>
            <w:r w:rsidR="00054D61">
              <w:fldChar w:fldCharType="separate"/>
            </w:r>
            <w:r w:rsidR="153C3D84" w:rsidRPr="153C3D84">
              <w:rPr>
                <w:rStyle w:val="Hyperlink"/>
              </w:rPr>
              <w:t>4</w:t>
            </w:r>
            <w:r w:rsidR="00054D61">
              <w:fldChar w:fldCharType="end"/>
            </w:r>
          </w:hyperlink>
        </w:p>
        <w:p w14:paraId="36472B62" w14:textId="3EE1991C" w:rsidR="004F38B8" w:rsidRDefault="006E1175" w:rsidP="00262B43">
          <w:pPr>
            <w:pStyle w:val="TOC1"/>
            <w:tabs>
              <w:tab w:val="clear" w:pos="8495"/>
              <w:tab w:val="left" w:pos="435"/>
              <w:tab w:val="right" w:leader="dot" w:pos="8490"/>
            </w:tabs>
            <w:jc w:val="center"/>
            <w:rPr>
              <w:rStyle w:val="Hyperlink"/>
              <w:kern w:val="2"/>
              <w:lang w:eastAsia="en-GB"/>
              <w14:ligatures w14:val="standardContextual"/>
            </w:rPr>
          </w:pPr>
          <w:hyperlink w:anchor="_Toc285173413">
            <w:r w:rsidR="153C3D84" w:rsidRPr="153C3D84">
              <w:rPr>
                <w:rStyle w:val="Hyperlink"/>
              </w:rPr>
              <w:t>4.</w:t>
            </w:r>
            <w:r w:rsidR="00054D61">
              <w:tab/>
            </w:r>
            <w:r w:rsidR="153C3D84" w:rsidRPr="153C3D84">
              <w:rPr>
                <w:rStyle w:val="Hyperlink"/>
              </w:rPr>
              <w:t>Key Perforamce Indicators (KPI) and Deliverables</w:t>
            </w:r>
            <w:r w:rsidR="00054D61">
              <w:tab/>
            </w:r>
            <w:r w:rsidR="00054D61">
              <w:fldChar w:fldCharType="begin"/>
            </w:r>
            <w:r w:rsidR="00054D61">
              <w:instrText>PAGEREF _Toc285173413 \h</w:instrText>
            </w:r>
            <w:r w:rsidR="00054D61">
              <w:fldChar w:fldCharType="separate"/>
            </w:r>
            <w:r w:rsidR="153C3D84" w:rsidRPr="153C3D84">
              <w:rPr>
                <w:rStyle w:val="Hyperlink"/>
              </w:rPr>
              <w:t>4</w:t>
            </w:r>
            <w:r w:rsidR="00054D61">
              <w:fldChar w:fldCharType="end"/>
            </w:r>
          </w:hyperlink>
        </w:p>
        <w:p w14:paraId="6358303B" w14:textId="7D2A2B51"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281933175">
            <w:r w:rsidR="153C3D84" w:rsidRPr="153C3D84">
              <w:rPr>
                <w:rStyle w:val="Hyperlink"/>
              </w:rPr>
              <w:t>4.1. Key Performance Indicators</w:t>
            </w:r>
            <w:r w:rsidR="00054D61">
              <w:tab/>
            </w:r>
            <w:r w:rsidR="00054D61">
              <w:fldChar w:fldCharType="begin"/>
            </w:r>
            <w:r w:rsidR="00054D61">
              <w:instrText>PAGEREF _Toc281933175 \h</w:instrText>
            </w:r>
            <w:r w:rsidR="00054D61">
              <w:fldChar w:fldCharType="separate"/>
            </w:r>
            <w:r w:rsidR="153C3D84" w:rsidRPr="153C3D84">
              <w:rPr>
                <w:rStyle w:val="Hyperlink"/>
              </w:rPr>
              <w:t>4</w:t>
            </w:r>
            <w:r w:rsidR="00054D61">
              <w:fldChar w:fldCharType="end"/>
            </w:r>
          </w:hyperlink>
        </w:p>
        <w:p w14:paraId="493F3B46" w14:textId="549F8FD3"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1512334687">
            <w:r w:rsidR="153C3D84" w:rsidRPr="153C3D84">
              <w:rPr>
                <w:rStyle w:val="Hyperlink"/>
              </w:rPr>
              <w:t>4.2. Deliverables</w:t>
            </w:r>
            <w:r w:rsidR="00054D61">
              <w:tab/>
            </w:r>
            <w:r w:rsidR="00054D61">
              <w:fldChar w:fldCharType="begin"/>
            </w:r>
            <w:r w:rsidR="00054D61">
              <w:instrText>PAGEREF _Toc1512334687 \h</w:instrText>
            </w:r>
            <w:r w:rsidR="00054D61">
              <w:fldChar w:fldCharType="separate"/>
            </w:r>
            <w:r w:rsidR="153C3D84" w:rsidRPr="153C3D84">
              <w:rPr>
                <w:rStyle w:val="Hyperlink"/>
              </w:rPr>
              <w:t>5</w:t>
            </w:r>
            <w:r w:rsidR="00054D61">
              <w:fldChar w:fldCharType="end"/>
            </w:r>
          </w:hyperlink>
        </w:p>
        <w:p w14:paraId="19D1BF3A" w14:textId="4053C068" w:rsidR="004F38B8" w:rsidRDefault="006E1175" w:rsidP="00262B43">
          <w:pPr>
            <w:pStyle w:val="TOC1"/>
            <w:tabs>
              <w:tab w:val="clear" w:pos="8495"/>
              <w:tab w:val="right" w:leader="dot" w:pos="8490"/>
            </w:tabs>
            <w:jc w:val="center"/>
            <w:rPr>
              <w:rStyle w:val="Hyperlink"/>
              <w:kern w:val="2"/>
              <w:lang w:eastAsia="en-GB"/>
              <w14:ligatures w14:val="standardContextual"/>
            </w:rPr>
          </w:pPr>
          <w:hyperlink w:anchor="_Toc1306189232">
            <w:r w:rsidR="153C3D84" w:rsidRPr="153C3D84">
              <w:rPr>
                <w:rStyle w:val="Hyperlink"/>
              </w:rPr>
              <w:t>5. Eligibility</w:t>
            </w:r>
            <w:r w:rsidR="00054D61">
              <w:tab/>
            </w:r>
            <w:r w:rsidR="00054D61">
              <w:fldChar w:fldCharType="begin"/>
            </w:r>
            <w:r w:rsidR="00054D61">
              <w:instrText>PAGEREF _Toc1306189232 \h</w:instrText>
            </w:r>
            <w:r w:rsidR="00054D61">
              <w:fldChar w:fldCharType="separate"/>
            </w:r>
            <w:r w:rsidR="153C3D84" w:rsidRPr="153C3D84">
              <w:rPr>
                <w:rStyle w:val="Hyperlink"/>
              </w:rPr>
              <w:t>5</w:t>
            </w:r>
            <w:r w:rsidR="00054D61">
              <w:fldChar w:fldCharType="end"/>
            </w:r>
          </w:hyperlink>
        </w:p>
        <w:p w14:paraId="1EA1E2E6" w14:textId="386379A3" w:rsidR="004F38B8" w:rsidRDefault="006E1175" w:rsidP="00262B43">
          <w:pPr>
            <w:pStyle w:val="TOC1"/>
            <w:tabs>
              <w:tab w:val="clear" w:pos="8495"/>
              <w:tab w:val="right" w:leader="dot" w:pos="8490"/>
            </w:tabs>
            <w:jc w:val="center"/>
            <w:rPr>
              <w:rStyle w:val="Hyperlink"/>
              <w:kern w:val="2"/>
              <w:lang w:eastAsia="en-GB"/>
              <w14:ligatures w14:val="standardContextual"/>
            </w:rPr>
          </w:pPr>
          <w:hyperlink w:anchor="_Toc1796600666">
            <w:r w:rsidR="153C3D84" w:rsidRPr="153C3D84">
              <w:rPr>
                <w:rStyle w:val="Hyperlink"/>
              </w:rPr>
              <w:t>6. Funding</w:t>
            </w:r>
            <w:r w:rsidR="00054D61">
              <w:tab/>
            </w:r>
            <w:r w:rsidR="00054D61">
              <w:fldChar w:fldCharType="begin"/>
            </w:r>
            <w:r w:rsidR="00054D61">
              <w:instrText>PAGEREF _Toc1796600666 \h</w:instrText>
            </w:r>
            <w:r w:rsidR="00054D61">
              <w:fldChar w:fldCharType="separate"/>
            </w:r>
            <w:r w:rsidR="153C3D84" w:rsidRPr="153C3D84">
              <w:rPr>
                <w:rStyle w:val="Hyperlink"/>
              </w:rPr>
              <w:t>6</w:t>
            </w:r>
            <w:r w:rsidR="00054D61">
              <w:fldChar w:fldCharType="end"/>
            </w:r>
          </w:hyperlink>
        </w:p>
        <w:p w14:paraId="438A4854" w14:textId="4C28D961"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1193422764">
            <w:r w:rsidR="153C3D84" w:rsidRPr="153C3D84">
              <w:rPr>
                <w:rStyle w:val="Hyperlink"/>
              </w:rPr>
              <w:t>6.1. Success Sharing Mechanism</w:t>
            </w:r>
            <w:r w:rsidR="00054D61">
              <w:tab/>
            </w:r>
            <w:r w:rsidR="00054D61">
              <w:fldChar w:fldCharType="begin"/>
            </w:r>
            <w:r w:rsidR="00054D61">
              <w:instrText>PAGEREF _Toc1193422764 \h</w:instrText>
            </w:r>
            <w:r w:rsidR="00054D61">
              <w:fldChar w:fldCharType="separate"/>
            </w:r>
            <w:r w:rsidR="153C3D84" w:rsidRPr="153C3D84">
              <w:rPr>
                <w:rStyle w:val="Hyperlink"/>
              </w:rPr>
              <w:t>7</w:t>
            </w:r>
            <w:r w:rsidR="00054D61">
              <w:fldChar w:fldCharType="end"/>
            </w:r>
          </w:hyperlink>
        </w:p>
        <w:p w14:paraId="2B058FE4" w14:textId="705886C5"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278960518">
            <w:r w:rsidR="153C3D84" w:rsidRPr="153C3D84">
              <w:rPr>
                <w:rStyle w:val="Hyperlink"/>
              </w:rPr>
              <w:t>6.2. Payment Schedule</w:t>
            </w:r>
            <w:r w:rsidR="00054D61">
              <w:tab/>
            </w:r>
            <w:r w:rsidR="00054D61">
              <w:fldChar w:fldCharType="begin"/>
            </w:r>
            <w:r w:rsidR="00054D61">
              <w:instrText>PAGEREF _Toc278960518 \h</w:instrText>
            </w:r>
            <w:r w:rsidR="00054D61">
              <w:fldChar w:fldCharType="separate"/>
            </w:r>
            <w:r w:rsidR="153C3D84" w:rsidRPr="153C3D84">
              <w:rPr>
                <w:rStyle w:val="Hyperlink"/>
              </w:rPr>
              <w:t>7</w:t>
            </w:r>
            <w:r w:rsidR="00054D61">
              <w:fldChar w:fldCharType="end"/>
            </w:r>
          </w:hyperlink>
        </w:p>
        <w:p w14:paraId="0F6DDB59" w14:textId="5B2F5485"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1482185473">
            <w:r w:rsidR="153C3D84" w:rsidRPr="153C3D84">
              <w:rPr>
                <w:rStyle w:val="Hyperlink"/>
              </w:rPr>
              <w:t>6.3. EIT Food Legal Framework &amp; Legal Documents to be signed</w:t>
            </w:r>
            <w:r w:rsidR="00054D61">
              <w:tab/>
            </w:r>
            <w:r w:rsidR="00054D61">
              <w:fldChar w:fldCharType="begin"/>
            </w:r>
            <w:r w:rsidR="00054D61">
              <w:instrText>PAGEREF _Toc1482185473 \h</w:instrText>
            </w:r>
            <w:r w:rsidR="00054D61">
              <w:fldChar w:fldCharType="separate"/>
            </w:r>
            <w:r w:rsidR="153C3D84" w:rsidRPr="153C3D84">
              <w:rPr>
                <w:rStyle w:val="Hyperlink"/>
              </w:rPr>
              <w:t>7</w:t>
            </w:r>
            <w:r w:rsidR="00054D61">
              <w:fldChar w:fldCharType="end"/>
            </w:r>
          </w:hyperlink>
        </w:p>
        <w:p w14:paraId="04849DAF" w14:textId="729DE7F3" w:rsidR="004F38B8" w:rsidRDefault="006E1175" w:rsidP="00262B43">
          <w:pPr>
            <w:pStyle w:val="TOC1"/>
            <w:tabs>
              <w:tab w:val="clear" w:pos="8495"/>
              <w:tab w:val="right" w:leader="dot" w:pos="8490"/>
            </w:tabs>
            <w:jc w:val="center"/>
            <w:rPr>
              <w:rStyle w:val="Hyperlink"/>
              <w:kern w:val="2"/>
              <w:lang w:eastAsia="en-GB"/>
              <w14:ligatures w14:val="standardContextual"/>
            </w:rPr>
          </w:pPr>
          <w:hyperlink w:anchor="_Toc381866597">
            <w:r w:rsidR="153C3D84" w:rsidRPr="153C3D84">
              <w:rPr>
                <w:rStyle w:val="Hyperlink"/>
              </w:rPr>
              <w:t>7. Application</w:t>
            </w:r>
            <w:r w:rsidR="00054D61">
              <w:tab/>
            </w:r>
            <w:r w:rsidR="00054D61">
              <w:fldChar w:fldCharType="begin"/>
            </w:r>
            <w:r w:rsidR="00054D61">
              <w:instrText>PAGEREF _Toc381866597 \h</w:instrText>
            </w:r>
            <w:r w:rsidR="00054D61">
              <w:fldChar w:fldCharType="separate"/>
            </w:r>
            <w:r w:rsidR="153C3D84" w:rsidRPr="153C3D84">
              <w:rPr>
                <w:rStyle w:val="Hyperlink"/>
              </w:rPr>
              <w:t>7</w:t>
            </w:r>
            <w:r w:rsidR="00054D61">
              <w:fldChar w:fldCharType="end"/>
            </w:r>
          </w:hyperlink>
        </w:p>
        <w:p w14:paraId="6EA1E676" w14:textId="6DB31848" w:rsidR="004F38B8" w:rsidRDefault="006E1175" w:rsidP="00262B43">
          <w:pPr>
            <w:pStyle w:val="TOC1"/>
            <w:tabs>
              <w:tab w:val="clear" w:pos="8495"/>
              <w:tab w:val="right" w:leader="dot" w:pos="8490"/>
            </w:tabs>
            <w:jc w:val="center"/>
            <w:rPr>
              <w:rStyle w:val="Hyperlink"/>
              <w:kern w:val="2"/>
              <w:lang w:eastAsia="en-GB"/>
              <w14:ligatures w14:val="standardContextual"/>
            </w:rPr>
          </w:pPr>
          <w:hyperlink w:anchor="_Toc637853699">
            <w:r w:rsidR="153C3D84" w:rsidRPr="153C3D84">
              <w:rPr>
                <w:rStyle w:val="Hyperlink"/>
              </w:rPr>
              <w:t>8. Evaluation and Selection Process</w:t>
            </w:r>
            <w:r w:rsidR="00054D61">
              <w:tab/>
            </w:r>
            <w:r w:rsidR="00054D61">
              <w:fldChar w:fldCharType="begin"/>
            </w:r>
            <w:r w:rsidR="00054D61">
              <w:instrText>PAGEREF _Toc637853699 \h</w:instrText>
            </w:r>
            <w:r w:rsidR="00054D61">
              <w:fldChar w:fldCharType="separate"/>
            </w:r>
            <w:r w:rsidR="153C3D84" w:rsidRPr="153C3D84">
              <w:rPr>
                <w:rStyle w:val="Hyperlink"/>
              </w:rPr>
              <w:t>7</w:t>
            </w:r>
            <w:r w:rsidR="00054D61">
              <w:fldChar w:fldCharType="end"/>
            </w:r>
          </w:hyperlink>
        </w:p>
        <w:p w14:paraId="54133D4B" w14:textId="5BD8A769"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126237564">
            <w:r w:rsidR="153C3D84" w:rsidRPr="153C3D84">
              <w:rPr>
                <w:rStyle w:val="Hyperlink"/>
              </w:rPr>
              <w:t>8.1. Appeal on Evaluation Results</w:t>
            </w:r>
            <w:r w:rsidR="00054D61">
              <w:tab/>
            </w:r>
            <w:r w:rsidR="00054D61">
              <w:fldChar w:fldCharType="begin"/>
            </w:r>
            <w:r w:rsidR="00054D61">
              <w:instrText>PAGEREF _Toc126237564 \h</w:instrText>
            </w:r>
            <w:r w:rsidR="00054D61">
              <w:fldChar w:fldCharType="separate"/>
            </w:r>
            <w:r w:rsidR="153C3D84" w:rsidRPr="153C3D84">
              <w:rPr>
                <w:rStyle w:val="Hyperlink"/>
              </w:rPr>
              <w:t>9</w:t>
            </w:r>
            <w:r w:rsidR="00054D61">
              <w:fldChar w:fldCharType="end"/>
            </w:r>
          </w:hyperlink>
        </w:p>
        <w:p w14:paraId="01234CFA" w14:textId="6629447A"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2099763960">
            <w:r w:rsidR="153C3D84" w:rsidRPr="153C3D84">
              <w:rPr>
                <w:rStyle w:val="Hyperlink"/>
              </w:rPr>
              <w:t>9. Monitoring</w:t>
            </w:r>
            <w:r w:rsidR="00054D61">
              <w:tab/>
            </w:r>
            <w:r w:rsidR="00054D61">
              <w:fldChar w:fldCharType="begin"/>
            </w:r>
            <w:r w:rsidR="00054D61">
              <w:instrText>PAGEREF _Toc2099763960 \h</w:instrText>
            </w:r>
            <w:r w:rsidR="00054D61">
              <w:fldChar w:fldCharType="separate"/>
            </w:r>
            <w:r w:rsidR="153C3D84" w:rsidRPr="153C3D84">
              <w:rPr>
                <w:rStyle w:val="Hyperlink"/>
              </w:rPr>
              <w:t>9</w:t>
            </w:r>
            <w:r w:rsidR="00054D61">
              <w:fldChar w:fldCharType="end"/>
            </w:r>
          </w:hyperlink>
        </w:p>
        <w:p w14:paraId="424CC76C" w14:textId="5648C1A7" w:rsidR="004F38B8" w:rsidRDefault="006E1175" w:rsidP="00262B43">
          <w:pPr>
            <w:pStyle w:val="TOC2"/>
            <w:tabs>
              <w:tab w:val="clear" w:pos="8495"/>
              <w:tab w:val="right" w:leader="dot" w:pos="8490"/>
            </w:tabs>
            <w:jc w:val="center"/>
            <w:rPr>
              <w:rStyle w:val="Hyperlink"/>
              <w:kern w:val="2"/>
              <w:lang w:eastAsia="en-GB"/>
              <w14:ligatures w14:val="standardContextual"/>
            </w:rPr>
          </w:pPr>
          <w:hyperlink w:anchor="_Toc2121264729">
            <w:r w:rsidR="153C3D84" w:rsidRPr="153C3D84">
              <w:rPr>
                <w:rStyle w:val="Hyperlink"/>
              </w:rPr>
              <w:t>10. Support</w:t>
            </w:r>
            <w:r w:rsidR="00054D61">
              <w:tab/>
            </w:r>
            <w:r w:rsidR="00054D61">
              <w:fldChar w:fldCharType="begin"/>
            </w:r>
            <w:r w:rsidR="00054D61">
              <w:instrText>PAGEREF _Toc2121264729 \h</w:instrText>
            </w:r>
            <w:r w:rsidR="00054D61">
              <w:fldChar w:fldCharType="separate"/>
            </w:r>
            <w:r w:rsidR="153C3D84" w:rsidRPr="153C3D84">
              <w:rPr>
                <w:rStyle w:val="Hyperlink"/>
              </w:rPr>
              <w:t>10</w:t>
            </w:r>
            <w:r w:rsidR="00054D61">
              <w:fldChar w:fldCharType="end"/>
            </w:r>
          </w:hyperlink>
        </w:p>
        <w:p w14:paraId="168B4158" w14:textId="6B9A46F8" w:rsidR="004F38B8" w:rsidRDefault="006E1175" w:rsidP="00262B43">
          <w:pPr>
            <w:pStyle w:val="TOC1"/>
            <w:tabs>
              <w:tab w:val="clear" w:pos="8495"/>
              <w:tab w:val="right" w:leader="dot" w:pos="8490"/>
            </w:tabs>
            <w:jc w:val="center"/>
            <w:rPr>
              <w:rStyle w:val="Hyperlink"/>
              <w:kern w:val="2"/>
              <w:lang w:eastAsia="en-GB"/>
              <w14:ligatures w14:val="standardContextual"/>
            </w:rPr>
          </w:pPr>
          <w:hyperlink w:anchor="_Toc1823506325">
            <w:r w:rsidR="153C3D84" w:rsidRPr="153C3D84">
              <w:rPr>
                <w:rStyle w:val="Hyperlink"/>
              </w:rPr>
              <w:t>ANNEX 1: Eligibility</w:t>
            </w:r>
            <w:r w:rsidR="00054D61">
              <w:tab/>
            </w:r>
            <w:r w:rsidR="00054D61">
              <w:fldChar w:fldCharType="begin"/>
            </w:r>
            <w:r w:rsidR="00054D61">
              <w:instrText>PAGEREF _Toc1823506325 \h</w:instrText>
            </w:r>
            <w:r w:rsidR="00054D61">
              <w:fldChar w:fldCharType="separate"/>
            </w:r>
            <w:r w:rsidR="153C3D84" w:rsidRPr="153C3D84">
              <w:rPr>
                <w:rStyle w:val="Hyperlink"/>
              </w:rPr>
              <w:t>10</w:t>
            </w:r>
            <w:r w:rsidR="00054D61">
              <w:fldChar w:fldCharType="end"/>
            </w:r>
          </w:hyperlink>
        </w:p>
        <w:p w14:paraId="25844DAA" w14:textId="2C75DA30" w:rsidR="153C3D84" w:rsidRDefault="006E1175" w:rsidP="00262B43">
          <w:pPr>
            <w:pStyle w:val="TOC1"/>
            <w:tabs>
              <w:tab w:val="clear" w:pos="8495"/>
              <w:tab w:val="right" w:leader="dot" w:pos="8490"/>
            </w:tabs>
            <w:jc w:val="center"/>
            <w:rPr>
              <w:rStyle w:val="Hyperlink"/>
            </w:rPr>
          </w:pPr>
          <w:hyperlink w:anchor="_Toc688301139">
            <w:r w:rsidR="153C3D84" w:rsidRPr="153C3D84">
              <w:rPr>
                <w:rStyle w:val="Hyperlink"/>
              </w:rPr>
              <w:t>ANNEX 2: Success Sharing Mechanism</w:t>
            </w:r>
            <w:r w:rsidR="153C3D84">
              <w:tab/>
            </w:r>
            <w:r w:rsidR="153C3D84">
              <w:fldChar w:fldCharType="begin"/>
            </w:r>
            <w:r w:rsidR="153C3D84">
              <w:instrText>PAGEREF _Toc688301139 \h</w:instrText>
            </w:r>
            <w:r w:rsidR="153C3D84">
              <w:fldChar w:fldCharType="separate"/>
            </w:r>
            <w:r w:rsidR="153C3D84" w:rsidRPr="153C3D84">
              <w:rPr>
                <w:rStyle w:val="Hyperlink"/>
              </w:rPr>
              <w:t>11</w:t>
            </w:r>
            <w:r w:rsidR="153C3D84">
              <w:fldChar w:fldCharType="end"/>
            </w:r>
          </w:hyperlink>
          <w:r w:rsidR="153C3D84">
            <w:fldChar w:fldCharType="end"/>
          </w:r>
        </w:p>
      </w:sdtContent>
    </w:sdt>
    <w:p w14:paraId="51CF2A1C" w14:textId="77569A5E" w:rsidR="00A93207" w:rsidRDefault="00A93207" w:rsidP="00262B43">
      <w:pPr>
        <w:jc w:val="center"/>
      </w:pPr>
    </w:p>
    <w:p w14:paraId="2245BB2B" w14:textId="0F36C0EE" w:rsidR="00F26EF9" w:rsidRPr="004F35A0" w:rsidRDefault="00F26EF9" w:rsidP="2C812A0E">
      <w:pPr>
        <w:spacing w:after="0"/>
      </w:pPr>
    </w:p>
    <w:p w14:paraId="57C40890" w14:textId="593BDD98" w:rsidR="00F26EF9" w:rsidRPr="004F35A0" w:rsidRDefault="00F26EF9" w:rsidP="586DA79C">
      <w:pPr>
        <w:spacing w:after="0"/>
      </w:pPr>
      <w:bookmarkStart w:id="1" w:name="_Toc531794670"/>
      <w:r w:rsidRPr="586DA79C">
        <w:br w:type="page"/>
      </w:r>
    </w:p>
    <w:p w14:paraId="670EF28B" w14:textId="2DDD4B27" w:rsidR="00F26EF9" w:rsidRPr="00F74870" w:rsidRDefault="3BA2AC39" w:rsidP="001710E7">
      <w:pPr>
        <w:pStyle w:val="Heading1"/>
        <w:numPr>
          <w:ilvl w:val="0"/>
          <w:numId w:val="19"/>
        </w:numPr>
      </w:pPr>
      <w:bookmarkStart w:id="2" w:name="_Toc174960579"/>
      <w:bookmarkStart w:id="3" w:name="_Toc1805848722"/>
      <w:r>
        <w:lastRenderedPageBreak/>
        <w:t>Introduction</w:t>
      </w:r>
      <w:bookmarkStart w:id="4" w:name="_Toc79042855"/>
      <w:bookmarkStart w:id="5" w:name="_Toc79045381"/>
      <w:bookmarkEnd w:id="2"/>
      <w:bookmarkEnd w:id="3"/>
      <w:bookmarkEnd w:id="4"/>
      <w:bookmarkEnd w:id="5"/>
    </w:p>
    <w:p w14:paraId="11976C13" w14:textId="017A1C29" w:rsidR="000D0B77" w:rsidRPr="004F35A0" w:rsidRDefault="000D0B77" w:rsidP="000D0B77">
      <w:r w:rsidRPr="004F35A0">
        <w:t>EIT Food is the world’s largest food innovation community, creating connections right across the food system. Supported by the European Union (EU), we invest in projects, organisations</w:t>
      </w:r>
      <w:r w:rsidR="006F7B23" w:rsidRPr="004F35A0">
        <w:t>,</w:t>
      </w:r>
      <w:r w:rsidRPr="004F35A0">
        <w:t xml:space="preserve"> and individuals which share our goals for a healthy and sustainable food system. </w:t>
      </w:r>
    </w:p>
    <w:p w14:paraId="7919CD78" w14:textId="03A3486E" w:rsidR="000D0B77" w:rsidRPr="004F35A0" w:rsidRDefault="000D0B77" w:rsidP="000D0B77">
      <w:r w:rsidRPr="004F35A0">
        <w:t>We have built a unique not-for-profit business to carry out transformative programmes in skills, education, entrepreneurship, start-up investment and communications. We deliver these programmes in partnership with our members to create a culture and build a community which sees the long-term value in the food innovation we fund.</w:t>
      </w:r>
    </w:p>
    <w:p w14:paraId="5107171A" w14:textId="13427AE4" w:rsidR="00411C54" w:rsidRPr="004F35A0" w:rsidDel="000A45E6" w:rsidRDefault="00411C54" w:rsidP="00CF5011">
      <w:pPr>
        <w:rPr>
          <w:b/>
          <w:bCs/>
        </w:rPr>
      </w:pPr>
      <w:r w:rsidRPr="004F35A0">
        <w:rPr>
          <w:b/>
          <w:bCs/>
        </w:rPr>
        <w:t>Our Missions</w:t>
      </w:r>
    </w:p>
    <w:p w14:paraId="24159EC0" w14:textId="77777777" w:rsidR="000D0B77" w:rsidRPr="004F35A0" w:rsidRDefault="000D0B77" w:rsidP="000D0B77">
      <w:pPr>
        <w:pStyle w:val="paragraph"/>
        <w:spacing w:before="0" w:beforeAutospacing="0" w:after="0" w:afterAutospacing="0"/>
        <w:ind w:left="720" w:firstLine="720"/>
        <w:textAlignment w:val="baseline"/>
        <w:rPr>
          <w:rFonts w:ascii="Segoe UI" w:hAnsi="Segoe UI" w:cs="Segoe UI"/>
          <w:sz w:val="18"/>
          <w:szCs w:val="18"/>
        </w:rPr>
      </w:pPr>
      <w:r w:rsidRPr="004F35A0">
        <w:rPr>
          <w:rStyle w:val="wacimagecontainer"/>
          <w:rFonts w:ascii="Segoe UI" w:hAnsi="Segoe UI" w:cs="Segoe UI"/>
          <w:noProof/>
          <w:sz w:val="18"/>
          <w:szCs w:val="18"/>
        </w:rPr>
        <w:drawing>
          <wp:inline distT="0" distB="0" distL="0" distR="0" wp14:anchorId="6C5882E3" wp14:editId="0768F142">
            <wp:extent cx="1203960" cy="1638723"/>
            <wp:effectExtent l="0" t="0" r="0" b="0"/>
            <wp:docPr id="1950944762" name="Picture 1950944762" descr="A blue circle with blue and white apples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circle with blue and white apples and a he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197" cy="1641768"/>
                    </a:xfrm>
                    <a:prstGeom prst="rect">
                      <a:avLst/>
                    </a:prstGeom>
                    <a:noFill/>
                    <a:ln>
                      <a:noFill/>
                    </a:ln>
                  </pic:spPr>
                </pic:pic>
              </a:graphicData>
            </a:graphic>
          </wp:inline>
        </w:drawing>
      </w:r>
      <w:r w:rsidRPr="004F35A0">
        <w:rPr>
          <w:rStyle w:val="wacimagecontainer"/>
          <w:rFonts w:ascii="Segoe UI" w:hAnsi="Segoe UI" w:cs="Segoe UI"/>
          <w:noProof/>
          <w:sz w:val="18"/>
          <w:szCs w:val="18"/>
        </w:rPr>
        <w:drawing>
          <wp:inline distT="0" distB="0" distL="0" distR="0" wp14:anchorId="5B87AC3F" wp14:editId="7EE7CF0A">
            <wp:extent cx="1203960" cy="1638300"/>
            <wp:effectExtent l="0" t="0" r="0" b="0"/>
            <wp:docPr id="1035273555" name="Picture 1035273555" descr="A green and black sign with a tractor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73555" name="Picture 2" descr="A green and black sign with a tractor and arrow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960" cy="1638300"/>
                    </a:xfrm>
                    <a:prstGeom prst="rect">
                      <a:avLst/>
                    </a:prstGeom>
                    <a:noFill/>
                    <a:ln>
                      <a:noFill/>
                    </a:ln>
                  </pic:spPr>
                </pic:pic>
              </a:graphicData>
            </a:graphic>
          </wp:inline>
        </w:drawing>
      </w:r>
      <w:r w:rsidRPr="004F35A0">
        <w:rPr>
          <w:rStyle w:val="wacimagecontainer"/>
          <w:rFonts w:ascii="Segoe UI" w:hAnsi="Segoe UI" w:cs="Segoe UI"/>
          <w:noProof/>
          <w:sz w:val="18"/>
          <w:szCs w:val="18"/>
        </w:rPr>
        <w:drawing>
          <wp:inline distT="0" distB="0" distL="0" distR="0" wp14:anchorId="1DFEB0E4" wp14:editId="49F04248">
            <wp:extent cx="1194875" cy="1645920"/>
            <wp:effectExtent l="0" t="0" r="5715" b="0"/>
            <wp:docPr id="1261979771" name="Picture 1261979771" descr="A sign with orange and purple outline and fish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ign with orange and purple outline and fish and a shield&#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9467" cy="1652245"/>
                    </a:xfrm>
                    <a:prstGeom prst="rect">
                      <a:avLst/>
                    </a:prstGeom>
                    <a:noFill/>
                    <a:ln>
                      <a:noFill/>
                    </a:ln>
                  </pic:spPr>
                </pic:pic>
              </a:graphicData>
            </a:graphic>
          </wp:inline>
        </w:drawing>
      </w:r>
      <w:r w:rsidRPr="004F35A0">
        <w:rPr>
          <w:rStyle w:val="eop"/>
          <w:rFonts w:ascii="Calibri" w:hAnsi="Calibri" w:cs="Calibri"/>
          <w:color w:val="000000"/>
          <w:sz w:val="22"/>
          <w:szCs w:val="22"/>
        </w:rPr>
        <w:t> </w:t>
      </w:r>
    </w:p>
    <w:p w14:paraId="6C77FB19" w14:textId="77777777" w:rsidR="000D0B77" w:rsidRPr="004F35A0" w:rsidRDefault="000D0B77" w:rsidP="000D0B77">
      <w:pPr>
        <w:pStyle w:val="paragraph"/>
        <w:spacing w:before="0" w:beforeAutospacing="0" w:after="0" w:afterAutospacing="0"/>
        <w:textAlignment w:val="baseline"/>
        <w:rPr>
          <w:rFonts w:ascii="Segoe UI" w:hAnsi="Segoe UI" w:cs="Segoe UI"/>
          <w:sz w:val="18"/>
          <w:szCs w:val="18"/>
        </w:rPr>
      </w:pPr>
      <w:r w:rsidRPr="004F35A0">
        <w:rPr>
          <w:rStyle w:val="eop"/>
          <w:rFonts w:ascii="Calibri" w:hAnsi="Calibri" w:cs="Calibri"/>
          <w:color w:val="000000"/>
          <w:sz w:val="22"/>
          <w:szCs w:val="22"/>
        </w:rPr>
        <w:t> </w:t>
      </w:r>
    </w:p>
    <w:p w14:paraId="51E8D5A2" w14:textId="5C277A7B" w:rsidR="000D0B77" w:rsidRPr="004F35A0" w:rsidRDefault="000D0B77" w:rsidP="000D0B77">
      <w:pPr>
        <w:pStyle w:val="paragraph"/>
        <w:spacing w:before="0" w:beforeAutospacing="0" w:after="0" w:afterAutospacing="0"/>
        <w:textAlignment w:val="baseline"/>
        <w:rPr>
          <w:rStyle w:val="eop"/>
          <w:rFonts w:ascii="Calibri" w:hAnsi="Calibri" w:cs="Calibri"/>
          <w:color w:val="000000" w:themeColor="text1"/>
          <w:sz w:val="22"/>
          <w:szCs w:val="22"/>
        </w:rPr>
      </w:pPr>
      <w:r w:rsidRPr="004F35A0">
        <w:rPr>
          <w:rStyle w:val="normaltextrun"/>
          <w:rFonts w:ascii="Calibri" w:hAnsi="Calibri" w:cs="Calibri"/>
          <w:color w:val="000000" w:themeColor="text1"/>
          <w:sz w:val="22"/>
          <w:szCs w:val="22"/>
        </w:rPr>
        <w:t xml:space="preserve">EIT Food´s Missions respond to major societal challenges within the food system. The alignment of our chosen challenges towards United Nations Sustainable Development Goals (SDGs) and EU policy is detailed in our main funding </w:t>
      </w:r>
      <w:hyperlink r:id="rId15">
        <w:r w:rsidRPr="004F35A0">
          <w:rPr>
            <w:rStyle w:val="normaltextrun"/>
            <w:rFonts w:ascii="Calibri" w:hAnsi="Calibri" w:cs="Calibri"/>
            <w:color w:val="0563C1"/>
            <w:sz w:val="22"/>
            <w:szCs w:val="22"/>
            <w:u w:val="single"/>
          </w:rPr>
          <w:t xml:space="preserve">strategy document </w:t>
        </w:r>
      </w:hyperlink>
      <w:r w:rsidRPr="004F35A0">
        <w:rPr>
          <w:rStyle w:val="normaltextrun"/>
          <w:rFonts w:ascii="Calibri" w:hAnsi="Calibri" w:cs="Calibri"/>
          <w:color w:val="000000" w:themeColor="text1"/>
          <w:sz w:val="22"/>
          <w:szCs w:val="22"/>
        </w:rPr>
        <w:t>agreed with EIT (European Institute of Innovation &amp; Technology).</w:t>
      </w:r>
      <w:r w:rsidRPr="004F35A0">
        <w:rPr>
          <w:rStyle w:val="eop"/>
          <w:rFonts w:ascii="Calibri" w:hAnsi="Calibri" w:cs="Calibri"/>
          <w:color w:val="000000" w:themeColor="text1"/>
          <w:sz w:val="22"/>
          <w:szCs w:val="22"/>
        </w:rPr>
        <w:t xml:space="preserve"> For more about our Missions-led approach please visit </w:t>
      </w:r>
      <w:hyperlink r:id="rId16">
        <w:r w:rsidRPr="004F35A0">
          <w:rPr>
            <w:rStyle w:val="Hyperlink"/>
            <w:rFonts w:ascii="Calibri" w:hAnsi="Calibri" w:cs="Calibri"/>
            <w:sz w:val="22"/>
            <w:szCs w:val="22"/>
            <w:u w:val="single"/>
          </w:rPr>
          <w:t>our website</w:t>
        </w:r>
        <w:r w:rsidRPr="004F35A0">
          <w:rPr>
            <w:rStyle w:val="Hyperlink"/>
            <w:rFonts w:ascii="Calibri" w:hAnsi="Calibri" w:cs="Calibri"/>
            <w:sz w:val="22"/>
            <w:szCs w:val="22"/>
          </w:rPr>
          <w:t>.</w:t>
        </w:r>
      </w:hyperlink>
      <w:r w:rsidRPr="004F35A0">
        <w:rPr>
          <w:rStyle w:val="eop"/>
          <w:rFonts w:ascii="Calibri" w:hAnsi="Calibri" w:cs="Calibri"/>
          <w:color w:val="000000" w:themeColor="text1"/>
          <w:sz w:val="22"/>
          <w:szCs w:val="22"/>
        </w:rPr>
        <w:t xml:space="preserve"> </w:t>
      </w:r>
    </w:p>
    <w:p w14:paraId="0AFA8AD5" w14:textId="3C6A518B" w:rsidR="009179B5" w:rsidRPr="00F74870" w:rsidRDefault="017FAE9B" w:rsidP="00F74870">
      <w:pPr>
        <w:pStyle w:val="Heading1"/>
        <w:numPr>
          <w:ilvl w:val="0"/>
          <w:numId w:val="19"/>
        </w:numPr>
        <w:rPr>
          <w:rStyle w:val="eop"/>
        </w:rPr>
      </w:pPr>
      <w:bookmarkStart w:id="6" w:name="_Toc505044155"/>
      <w:r>
        <w:t>Purpose</w:t>
      </w:r>
      <w:r w:rsidR="18D82A74">
        <w:t xml:space="preserve"> and Scope</w:t>
      </w:r>
      <w:bookmarkEnd w:id="6"/>
    </w:p>
    <w:p w14:paraId="1536A1E4" w14:textId="7DD9F3B2" w:rsidR="5B083E15" w:rsidRDefault="5B083E15"/>
    <w:p w14:paraId="4E1E1993" w14:textId="193327AF" w:rsidR="000E1143" w:rsidRDefault="00865E4C" w:rsidP="4BC4EA7E">
      <w:r>
        <w:t>T</w:t>
      </w:r>
      <w:r w:rsidR="00A9117F">
        <w:t>he purpose of the Fast Track to Market is to</w:t>
      </w:r>
      <w:r w:rsidR="00C8663D">
        <w:t xml:space="preserve"> </w:t>
      </w:r>
      <w:r w:rsidR="00C8663D" w:rsidRPr="1E43A5B8">
        <w:rPr>
          <w:b/>
          <w:bCs/>
        </w:rPr>
        <w:t>accelerate the commercial activities of</w:t>
      </w:r>
      <w:r w:rsidR="00AA65DE" w:rsidRPr="1E43A5B8">
        <w:rPr>
          <w:b/>
          <w:bCs/>
        </w:rPr>
        <w:t xml:space="preserve"> SMEs</w:t>
      </w:r>
      <w:r w:rsidR="00AA65DE">
        <w:t xml:space="preserve"> </w:t>
      </w:r>
      <w:r w:rsidR="009E561F" w:rsidRPr="009E561F">
        <w:t xml:space="preserve">that result </w:t>
      </w:r>
      <w:r w:rsidR="00AA65DE" w:rsidRPr="009E561F">
        <w:t>in</w:t>
      </w:r>
      <w:r w:rsidR="000E1143" w:rsidRPr="009E561F">
        <w:t xml:space="preserve"> </w:t>
      </w:r>
      <w:r w:rsidR="000E1143" w:rsidRPr="009E561F">
        <w:rPr>
          <w:b/>
          <w:bCs/>
        </w:rPr>
        <w:t>impactful technologies</w:t>
      </w:r>
      <w:r w:rsidR="00E47E4C" w:rsidRPr="009E561F">
        <w:rPr>
          <w:b/>
          <w:bCs/>
        </w:rPr>
        <w:t xml:space="preserve">, </w:t>
      </w:r>
      <w:r w:rsidR="000E1143" w:rsidRPr="009E561F">
        <w:rPr>
          <w:b/>
          <w:bCs/>
        </w:rPr>
        <w:t>products</w:t>
      </w:r>
      <w:r w:rsidR="00E46F10" w:rsidRPr="009E561F">
        <w:rPr>
          <w:b/>
          <w:bCs/>
        </w:rPr>
        <w:t>,</w:t>
      </w:r>
      <w:r w:rsidR="000E1143" w:rsidRPr="009E561F">
        <w:rPr>
          <w:b/>
          <w:bCs/>
        </w:rPr>
        <w:t xml:space="preserve"> </w:t>
      </w:r>
      <w:r w:rsidR="00FE68BE" w:rsidRPr="009E561F">
        <w:rPr>
          <w:b/>
          <w:bCs/>
        </w:rPr>
        <w:t>and services</w:t>
      </w:r>
      <w:r w:rsidR="00FE68BE">
        <w:t xml:space="preserve"> </w:t>
      </w:r>
      <w:r w:rsidR="00F72F46">
        <w:t xml:space="preserve">reaching </w:t>
      </w:r>
      <w:r w:rsidR="00017F23">
        <w:t xml:space="preserve">the </w:t>
      </w:r>
      <w:r w:rsidR="000E1143">
        <w:t>market</w:t>
      </w:r>
      <w:r w:rsidR="004129DA">
        <w:t xml:space="preserve"> </w:t>
      </w:r>
      <w:r w:rsidR="00F72F46">
        <w:t xml:space="preserve">and scaling further </w:t>
      </w:r>
      <w:r w:rsidR="004129DA">
        <w:t>in the food sector</w:t>
      </w:r>
      <w:r w:rsidR="000E1143">
        <w:t>.</w:t>
      </w:r>
      <w:r w:rsidR="0092144D">
        <w:t xml:space="preserve"> </w:t>
      </w:r>
    </w:p>
    <w:p w14:paraId="6DCF54D9" w14:textId="64FF711C" w:rsidR="003A69F2" w:rsidRDefault="003A69F2" w:rsidP="4BC4EA7E">
      <w:r>
        <w:t xml:space="preserve">We are looking for fast-moving, mature </w:t>
      </w:r>
      <w:r w:rsidR="00D73AA6">
        <w:t>SMEs</w:t>
      </w:r>
      <w:r>
        <w:t>. They are often perfectly aware of the missing pieces of knowledge, technology, or market validation needed to deliver concrete and marketable products, services, or processes. Their B2B/B2C technological solutions are close to the market. The extra support that EIT Food offers via association with the world’s largest and most dynamic food innovation community can speed up the marketability and potential commercial success of their solutions.</w:t>
      </w:r>
    </w:p>
    <w:p w14:paraId="6C7A07AE" w14:textId="07A5A894" w:rsidR="00306915" w:rsidRDefault="59844BD5" w:rsidP="2EBBAFFF">
      <w:r>
        <w:t>P</w:t>
      </w:r>
      <w:r w:rsidR="5A83127F">
        <w:t xml:space="preserve">roposed projects should aim to significantly shorten </w:t>
      </w:r>
      <w:r w:rsidR="034DCA07">
        <w:t xml:space="preserve">the </w:t>
      </w:r>
      <w:r w:rsidR="5A83127F">
        <w:t xml:space="preserve">time to market </w:t>
      </w:r>
      <w:r>
        <w:t xml:space="preserve">of innovations </w:t>
      </w:r>
      <w:r w:rsidR="5A83127F">
        <w:t xml:space="preserve">while guaranteeing as much as possible a marketable outcome for the </w:t>
      </w:r>
      <w:r w:rsidR="034DCA07">
        <w:t>SMEs</w:t>
      </w:r>
      <w:r w:rsidR="5A83127F">
        <w:t xml:space="preserve">. </w:t>
      </w:r>
      <w:r w:rsidR="034DCA07">
        <w:t xml:space="preserve">Project activities should </w:t>
      </w:r>
      <w:r w:rsidR="5A83127F">
        <w:t xml:space="preserve">therefore be </w:t>
      </w:r>
      <w:r w:rsidR="1318E52A" w:rsidRPr="586DA79C">
        <w:rPr>
          <w:b/>
          <w:bCs/>
        </w:rPr>
        <w:t xml:space="preserve">strictly </w:t>
      </w:r>
      <w:r w:rsidR="5A83127F" w:rsidRPr="586DA79C">
        <w:rPr>
          <w:b/>
          <w:bCs/>
        </w:rPr>
        <w:t>related to</w:t>
      </w:r>
      <w:r w:rsidR="5A83127F">
        <w:t xml:space="preserve"> </w:t>
      </w:r>
      <w:r w:rsidR="1318E52A" w:rsidRPr="586DA79C">
        <w:rPr>
          <w:b/>
          <w:bCs/>
        </w:rPr>
        <w:t>commercialisation</w:t>
      </w:r>
      <w:r w:rsidR="0B23C359">
        <w:t xml:space="preserve">, </w:t>
      </w:r>
      <w:r w:rsidR="0C24A988">
        <w:t>including but not limited to</w:t>
      </w:r>
      <w:r w:rsidR="137B0219">
        <w:t>,</w:t>
      </w:r>
      <w:r w:rsidR="0B23C359" w:rsidRPr="586DA79C">
        <w:rPr>
          <w:b/>
          <w:bCs/>
        </w:rPr>
        <w:t xml:space="preserve"> </w:t>
      </w:r>
      <w:r w:rsidR="3CD50EA8">
        <w:t>post-pilot implementation activities</w:t>
      </w:r>
      <w:r w:rsidR="476668CE">
        <w:t xml:space="preserve">, </w:t>
      </w:r>
      <w:r w:rsidR="539B38D5">
        <w:t xml:space="preserve">pre-launch product development, </w:t>
      </w:r>
      <w:r w:rsidR="3C900D77">
        <w:t xml:space="preserve">sales </w:t>
      </w:r>
      <w:r w:rsidR="6FABAD11">
        <w:t>development</w:t>
      </w:r>
      <w:r w:rsidR="63ABB159">
        <w:t xml:space="preserve">, consumer promotions, </w:t>
      </w:r>
      <w:r w:rsidR="66773329">
        <w:t>merchandising</w:t>
      </w:r>
      <w:r w:rsidR="01755AF3">
        <w:t xml:space="preserve">, trade </w:t>
      </w:r>
      <w:r w:rsidR="22C2B138">
        <w:t>advertising,</w:t>
      </w:r>
      <w:r w:rsidR="0C24A988">
        <w:t xml:space="preserve"> </w:t>
      </w:r>
      <w:r w:rsidR="25F96F43">
        <w:t>establishment</w:t>
      </w:r>
      <w:r w:rsidR="288B8396">
        <w:t xml:space="preserve"> of </w:t>
      </w:r>
      <w:r w:rsidR="0BEB9F5F">
        <w:t>distribution</w:t>
      </w:r>
      <w:r w:rsidR="13B10A6A">
        <w:t xml:space="preserve"> channels</w:t>
      </w:r>
      <w:r w:rsidR="4DE21305">
        <w:t>, etc</w:t>
      </w:r>
      <w:r w:rsidR="5A83127F">
        <w:t>.</w:t>
      </w:r>
    </w:p>
    <w:p w14:paraId="3EFE607B" w14:textId="569DDB8A" w:rsidR="00FA5B6E" w:rsidRPr="004F35A0" w:rsidRDefault="2ED63040" w:rsidP="00FA5B6E">
      <w:r>
        <w:t xml:space="preserve">These activities </w:t>
      </w:r>
      <w:r w:rsidR="5C6A176F">
        <w:t xml:space="preserve">could </w:t>
      </w:r>
      <w:r w:rsidR="711B7B3C">
        <w:t xml:space="preserve">illustratively </w:t>
      </w:r>
      <w:r w:rsidR="5C6A176F">
        <w:t>include the hiring of local sales staff, subscription</w:t>
      </w:r>
      <w:r w:rsidR="2CC6C3C8">
        <w:t>s</w:t>
      </w:r>
      <w:r w:rsidR="5C6A176F">
        <w:t xml:space="preserve"> </w:t>
      </w:r>
      <w:r w:rsidR="711B7B3C">
        <w:t xml:space="preserve">to </w:t>
      </w:r>
      <w:r w:rsidR="2CC6C3C8">
        <w:t xml:space="preserve">sales and </w:t>
      </w:r>
      <w:r w:rsidR="711B7B3C">
        <w:t xml:space="preserve">CRM software, </w:t>
      </w:r>
      <w:r w:rsidR="2CC6C3C8">
        <w:t xml:space="preserve">purchasing of raw materials, </w:t>
      </w:r>
      <w:r w:rsidR="7095B8A4">
        <w:t xml:space="preserve">last-mile R&amp;D costs, </w:t>
      </w:r>
      <w:r w:rsidR="2859163C">
        <w:t xml:space="preserve">execution of distribution contracts, </w:t>
      </w:r>
      <w:r w:rsidR="39505C3A">
        <w:t xml:space="preserve">creation of marketing materials, travel to industry conferences </w:t>
      </w:r>
      <w:r w:rsidR="731A4395">
        <w:t>and/</w:t>
      </w:r>
      <w:r w:rsidR="39505C3A">
        <w:t>or trade shows, etc.</w:t>
      </w:r>
    </w:p>
    <w:p w14:paraId="038FD156" w14:textId="48912BAF" w:rsidR="007B3038" w:rsidRPr="004F35A0" w:rsidRDefault="504EE82F" w:rsidP="6E75CB30">
      <w:r>
        <w:t xml:space="preserve">We invite you to apply to the Fast Track to Market if your </w:t>
      </w:r>
      <w:r w:rsidR="25F3E3FC">
        <w:t>company</w:t>
      </w:r>
      <w:r w:rsidR="50A32F2B">
        <w:t>:</w:t>
      </w:r>
    </w:p>
    <w:p w14:paraId="6DE09DA5" w14:textId="23BC551F" w:rsidR="00A8761C" w:rsidRPr="004F35A0" w:rsidRDefault="319C1759" w:rsidP="6E75CB30">
      <w:pPr>
        <w:pStyle w:val="ListParagraph"/>
        <w:numPr>
          <w:ilvl w:val="0"/>
          <w:numId w:val="14"/>
        </w:numPr>
      </w:pPr>
      <w:r>
        <w:t>D</w:t>
      </w:r>
      <w:r w:rsidR="61A5E682">
        <w:t>irectly contribute</w:t>
      </w:r>
      <w:r w:rsidR="130B95C0">
        <w:t>s</w:t>
      </w:r>
      <w:r w:rsidR="61A5E682">
        <w:t xml:space="preserve"> to </w:t>
      </w:r>
      <w:hyperlink r:id="rId17">
        <w:r w:rsidR="61A5E682" w:rsidRPr="586DA79C">
          <w:rPr>
            <w:rStyle w:val="Hyperlink"/>
            <w:u w:val="single"/>
          </w:rPr>
          <w:t>EIT Food’s missions</w:t>
        </w:r>
      </w:hyperlink>
      <w:r w:rsidR="61A5E682">
        <w:t xml:space="preserve">. </w:t>
      </w:r>
    </w:p>
    <w:p w14:paraId="31349E23" w14:textId="10235CD3" w:rsidR="00FA5B6E" w:rsidRPr="004F35A0" w:rsidRDefault="1C176808" w:rsidP="586D8D47">
      <w:pPr>
        <w:pStyle w:val="ListParagraph"/>
        <w:numPr>
          <w:ilvl w:val="0"/>
          <w:numId w:val="14"/>
        </w:numPr>
      </w:pPr>
      <w:r w:rsidRPr="004F35A0">
        <w:lastRenderedPageBreak/>
        <w:t>A</w:t>
      </w:r>
      <w:r w:rsidR="143A43C5" w:rsidRPr="004F35A0">
        <w:t xml:space="preserve"> short-term </w:t>
      </w:r>
      <w:r w:rsidRPr="004F35A0">
        <w:t>project</w:t>
      </w:r>
      <w:r w:rsidR="143A43C5" w:rsidRPr="004F35A0">
        <w:t xml:space="preserve"> (</w:t>
      </w:r>
      <w:r w:rsidR="00FC1096" w:rsidRPr="004F35A0">
        <w:t>up to 1</w:t>
      </w:r>
      <w:r w:rsidR="009E6673" w:rsidRPr="004F35A0">
        <w:t>2</w:t>
      </w:r>
      <w:r w:rsidR="143A43C5" w:rsidRPr="004F35A0">
        <w:t xml:space="preserve"> months) </w:t>
      </w:r>
      <w:r w:rsidRPr="004F35A0">
        <w:t>can help your company</w:t>
      </w:r>
      <w:r w:rsidR="143A43C5" w:rsidRPr="004F35A0">
        <w:t xml:space="preserve"> deliver on an existing business case with a high potential to generate B2B</w:t>
      </w:r>
      <w:r w:rsidR="00A6429D" w:rsidRPr="004F35A0">
        <w:t>/B2C</w:t>
      </w:r>
      <w:r w:rsidR="143A43C5" w:rsidRPr="004F35A0">
        <w:t xml:space="preserve"> sales for new or improved technologies and/or existing food products and services</w:t>
      </w:r>
      <w:r w:rsidR="4A6FCE5D" w:rsidRPr="004F35A0">
        <w:t>, in a new or existing market</w:t>
      </w:r>
      <w:r w:rsidR="143A43C5" w:rsidRPr="004F35A0">
        <w:t xml:space="preserve">. </w:t>
      </w:r>
      <w:r w:rsidR="6A2513AA" w:rsidRPr="004F35A0">
        <w:t>Generally</w:t>
      </w:r>
      <w:r w:rsidR="052521C8" w:rsidRPr="004F35A0">
        <w:t>,</w:t>
      </w:r>
      <w:r w:rsidR="6A2513AA" w:rsidRPr="004F35A0">
        <w:t xml:space="preserve"> this requires </w:t>
      </w:r>
      <w:r w:rsidR="11D9F36B" w:rsidRPr="004F35A0">
        <w:t xml:space="preserve">a minimum TRL </w:t>
      </w:r>
      <w:r w:rsidR="009E6673" w:rsidRPr="004F35A0">
        <w:t>8</w:t>
      </w:r>
      <w:r w:rsidR="11D9F36B" w:rsidRPr="004F35A0">
        <w:t xml:space="preserve">, and/or MRL </w:t>
      </w:r>
      <w:r w:rsidR="26C0C744" w:rsidRPr="004F35A0">
        <w:t>8</w:t>
      </w:r>
      <w:r w:rsidR="052521C8" w:rsidRPr="004F35A0">
        <w:t>.</w:t>
      </w:r>
    </w:p>
    <w:p w14:paraId="51D2238D" w14:textId="0AB5BEA0" w:rsidR="009D4EA5" w:rsidRPr="00361F86" w:rsidRDefault="7BA51281">
      <w:pPr>
        <w:pStyle w:val="ListParagraph"/>
        <w:numPr>
          <w:ilvl w:val="0"/>
          <w:numId w:val="14"/>
        </w:numPr>
      </w:pPr>
      <w:r>
        <w:t xml:space="preserve">Your company </w:t>
      </w:r>
      <w:r w:rsidR="5369CEC1">
        <w:t xml:space="preserve">must be </w:t>
      </w:r>
      <w:r w:rsidR="10684696">
        <w:t xml:space="preserve">currently </w:t>
      </w:r>
      <w:r w:rsidR="5369CEC1">
        <w:t xml:space="preserve">working on a </w:t>
      </w:r>
      <w:r w:rsidR="5369CEC1" w:rsidRPr="586DA79C">
        <w:rPr>
          <w:b/>
          <w:bCs/>
          <w:u w:val="single"/>
        </w:rPr>
        <w:t>business case</w:t>
      </w:r>
      <w:r w:rsidR="5369CEC1" w:rsidRPr="586DA79C">
        <w:rPr>
          <w:b/>
          <w:bCs/>
        </w:rPr>
        <w:t xml:space="preserve"> </w:t>
      </w:r>
      <w:r w:rsidR="5369CEC1">
        <w:t xml:space="preserve">for </w:t>
      </w:r>
      <w:r w:rsidR="2BC8ECB1">
        <w:t>accelerating</w:t>
      </w:r>
      <w:r w:rsidR="5F776D54">
        <w:t xml:space="preserve"> </w:t>
      </w:r>
      <w:r w:rsidR="5369CEC1">
        <w:t xml:space="preserve">a </w:t>
      </w:r>
      <w:r w:rsidR="228F0FA4" w:rsidRPr="586DA79C">
        <w:rPr>
          <w:b/>
          <w:bCs/>
        </w:rPr>
        <w:t>p</w:t>
      </w:r>
      <w:r w:rsidR="5369CEC1" w:rsidRPr="586DA79C">
        <w:rPr>
          <w:b/>
          <w:bCs/>
        </w:rPr>
        <w:t xml:space="preserve">roduct </w:t>
      </w:r>
      <w:r w:rsidR="2BC8ECB1" w:rsidRPr="586DA79C">
        <w:rPr>
          <w:b/>
          <w:bCs/>
        </w:rPr>
        <w:t>to the market</w:t>
      </w:r>
      <w:r w:rsidR="2BC8ECB1">
        <w:t xml:space="preserve"> </w:t>
      </w:r>
      <w:r w:rsidR="2214258A" w:rsidRPr="586DA79C">
        <w:rPr>
          <w:b/>
          <w:bCs/>
        </w:rPr>
        <w:t>to</w:t>
      </w:r>
      <w:r w:rsidR="5D0B0C36" w:rsidRPr="586DA79C">
        <w:rPr>
          <w:b/>
          <w:bCs/>
        </w:rPr>
        <w:t xml:space="preserve"> generate </w:t>
      </w:r>
      <w:r w:rsidR="5369CEC1" w:rsidRPr="586DA79C">
        <w:rPr>
          <w:b/>
          <w:bCs/>
        </w:rPr>
        <w:t>sales</w:t>
      </w:r>
      <w:r w:rsidR="2BC8ECB1" w:rsidRPr="586DA79C">
        <w:rPr>
          <w:b/>
          <w:bCs/>
        </w:rPr>
        <w:t xml:space="preserve">, </w:t>
      </w:r>
      <w:r w:rsidR="1C49FD3A" w:rsidRPr="586DA79C">
        <w:rPr>
          <w:b/>
          <w:bCs/>
        </w:rPr>
        <w:t xml:space="preserve">or </w:t>
      </w:r>
      <w:r w:rsidR="06F70D61" w:rsidRPr="586DA79C">
        <w:rPr>
          <w:b/>
          <w:bCs/>
        </w:rPr>
        <w:t>to</w:t>
      </w:r>
      <w:r w:rsidR="1C49FD3A" w:rsidRPr="586DA79C">
        <w:rPr>
          <w:b/>
          <w:bCs/>
        </w:rPr>
        <w:t xml:space="preserve"> increase </w:t>
      </w:r>
      <w:r w:rsidR="18D9C2EF" w:rsidRPr="586DA79C">
        <w:rPr>
          <w:b/>
          <w:bCs/>
        </w:rPr>
        <w:t>sales of a product already on the market</w:t>
      </w:r>
      <w:r w:rsidR="5369CEC1" w:rsidRPr="586DA79C">
        <w:rPr>
          <w:b/>
          <w:bCs/>
        </w:rPr>
        <w:t xml:space="preserve">. </w:t>
      </w:r>
      <w:r w:rsidR="5369CEC1">
        <w:t xml:space="preserve">The </w:t>
      </w:r>
      <w:r w:rsidR="3118DFBF">
        <w:t xml:space="preserve">funded </w:t>
      </w:r>
      <w:r w:rsidR="586EA117">
        <w:t xml:space="preserve">activities </w:t>
      </w:r>
      <w:r w:rsidR="3118DFBF">
        <w:t>necessary to achieve this</w:t>
      </w:r>
      <w:r w:rsidR="5369CEC1">
        <w:t xml:space="preserve"> must </w:t>
      </w:r>
      <w:r w:rsidR="62F95746">
        <w:t xml:space="preserve">have </w:t>
      </w:r>
      <w:r w:rsidR="5369CEC1">
        <w:t xml:space="preserve">a clear start and end date and aimed at achieving an </w:t>
      </w:r>
      <w:r w:rsidR="002BC9FB">
        <w:t>invoice-based</w:t>
      </w:r>
      <w:r w:rsidR="5369CEC1">
        <w:t xml:space="preserve"> sales transaction </w:t>
      </w:r>
      <w:r w:rsidR="1B99CAC2">
        <w:t>within 1</w:t>
      </w:r>
      <w:r w:rsidR="7DACB991">
        <w:t>2</w:t>
      </w:r>
      <w:r w:rsidR="5369CEC1">
        <w:t xml:space="preserve"> months</w:t>
      </w:r>
      <w:r w:rsidR="1B99CAC2">
        <w:t xml:space="preserve"> of the project start date</w:t>
      </w:r>
      <w:r w:rsidR="000834EC">
        <w:t xml:space="preserve">, with a </w:t>
      </w:r>
      <w:r w:rsidR="000834EC" w:rsidRPr="000834EC">
        <w:t>proof of sales amounting to a minimum of 10.000 EUR, according to EIT requirements for marketed innovations</w:t>
      </w:r>
    </w:p>
    <w:p w14:paraId="5C7A8946" w14:textId="096BD9A0" w:rsidR="00213187" w:rsidRPr="004F35A0" w:rsidRDefault="003842B8">
      <w:pPr>
        <w:pStyle w:val="ListParagraph"/>
        <w:numPr>
          <w:ilvl w:val="0"/>
          <w:numId w:val="14"/>
        </w:numPr>
        <w:rPr>
          <w:rFonts w:cstheme="minorHAnsi"/>
        </w:rPr>
      </w:pPr>
      <w:r w:rsidRPr="004F35A0">
        <w:rPr>
          <w:rFonts w:cstheme="minorHAnsi"/>
        </w:rPr>
        <w:t>Your company has</w:t>
      </w:r>
      <w:r w:rsidR="00FA5B6E" w:rsidRPr="004F35A0">
        <w:rPr>
          <w:rFonts w:cstheme="minorHAnsi"/>
        </w:rPr>
        <w:t xml:space="preserve"> an existing track record of </w:t>
      </w:r>
      <w:r w:rsidR="00070616" w:rsidRPr="004F35A0">
        <w:rPr>
          <w:rFonts w:cstheme="minorHAnsi"/>
        </w:rPr>
        <w:t xml:space="preserve">a tested </w:t>
      </w:r>
      <w:r w:rsidR="00B51F42" w:rsidRPr="004F35A0">
        <w:rPr>
          <w:rFonts w:cstheme="minorHAnsi"/>
        </w:rPr>
        <w:t xml:space="preserve">proof of concept, </w:t>
      </w:r>
      <w:r w:rsidR="00FA5B6E" w:rsidRPr="004F35A0">
        <w:rPr>
          <w:rFonts w:cstheme="minorHAnsi"/>
        </w:rPr>
        <w:t>product development, innovation</w:t>
      </w:r>
      <w:r w:rsidR="00D25571" w:rsidRPr="004F35A0">
        <w:rPr>
          <w:rFonts w:cstheme="minorHAnsi"/>
        </w:rPr>
        <w:t>,</w:t>
      </w:r>
      <w:r w:rsidR="00FA5B6E" w:rsidRPr="004F35A0">
        <w:rPr>
          <w:rFonts w:cstheme="minorHAnsi"/>
        </w:rPr>
        <w:t xml:space="preserve"> and sales that increase revenue and turnover</w:t>
      </w:r>
      <w:r w:rsidRPr="004F35A0">
        <w:rPr>
          <w:rFonts w:cstheme="minorHAnsi"/>
        </w:rPr>
        <w:t>.</w:t>
      </w:r>
    </w:p>
    <w:p w14:paraId="6ECF6D52" w14:textId="641A43B8" w:rsidR="00B97418" w:rsidRDefault="00D31263" w:rsidP="00B97418">
      <w:pPr>
        <w:pStyle w:val="Heading1"/>
        <w:numPr>
          <w:ilvl w:val="0"/>
          <w:numId w:val="19"/>
        </w:numPr>
      </w:pPr>
      <w:bookmarkStart w:id="7" w:name="_Toc1856636091"/>
      <w:r>
        <w:t>Overview</w:t>
      </w:r>
      <w:bookmarkEnd w:id="7"/>
      <w:r>
        <w:t xml:space="preserve"> </w:t>
      </w:r>
    </w:p>
    <w:p w14:paraId="0DD2D4D8" w14:textId="77777777" w:rsidR="002A7299" w:rsidRDefault="002A7299" w:rsidP="002A7299">
      <w:pPr>
        <w:pStyle w:val="Body"/>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4545"/>
      </w:tblGrid>
      <w:tr w:rsidR="002A7299" w:rsidRPr="008D7493" w14:paraId="481EF87C" w14:textId="77777777" w:rsidTr="002A7299">
        <w:trPr>
          <w:trHeight w:val="30"/>
          <w:jc w:val="center"/>
        </w:trPr>
        <w:tc>
          <w:tcPr>
            <w:tcW w:w="8550"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711B8735" w14:textId="54CBA002" w:rsidR="002A7299" w:rsidRPr="008D7493" w:rsidRDefault="002A7299" w:rsidP="002A7299">
            <w:pPr>
              <w:jc w:val="center"/>
            </w:pPr>
            <w:r>
              <w:t>2024 Fast Track to Market</w:t>
            </w:r>
            <w:r w:rsidRPr="008D7493">
              <w:t xml:space="preserve"> – Overview</w:t>
            </w:r>
          </w:p>
        </w:tc>
      </w:tr>
      <w:tr w:rsidR="002A7299" w:rsidRPr="008D7493" w14:paraId="3232CAEC"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672F8D2E" w14:textId="77777777" w:rsidR="002A7299" w:rsidRPr="008D7493" w:rsidRDefault="002A7299" w:rsidP="001C0AC5">
            <w:r w:rsidRPr="008D7493">
              <w:t>Application Open</w:t>
            </w:r>
            <w:r w:rsidRPr="008D7493">
              <w:rPr>
                <w:rFonts w:ascii="Arial" w:hAnsi="Arial" w:cs="Arial"/>
              </w:rPr>
              <w:t> </w:t>
            </w:r>
            <w:r w:rsidRPr="008D7493">
              <w:t>Date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647F946" w14:textId="35D0B163" w:rsidR="002A7299" w:rsidRPr="008D7493" w:rsidRDefault="007B46FF" w:rsidP="001C0AC5">
            <w:r>
              <w:rPr>
                <w:rFonts w:cstheme="minorHAnsi"/>
              </w:rPr>
              <w:t>24</w:t>
            </w:r>
            <w:r w:rsidRPr="004F35A0">
              <w:rPr>
                <w:rFonts w:cstheme="minorHAnsi"/>
              </w:rPr>
              <w:t xml:space="preserve"> </w:t>
            </w:r>
            <w:r>
              <w:rPr>
                <w:rFonts w:cstheme="minorHAnsi"/>
              </w:rPr>
              <w:t xml:space="preserve">September </w:t>
            </w:r>
            <w:r w:rsidRPr="004F35A0">
              <w:rPr>
                <w:rFonts w:cstheme="minorHAnsi"/>
              </w:rPr>
              <w:t>2024</w:t>
            </w:r>
          </w:p>
        </w:tc>
      </w:tr>
      <w:tr w:rsidR="002A7299" w:rsidRPr="008D7493" w14:paraId="5E427D4C" w14:textId="77777777" w:rsidTr="002A7299">
        <w:trPr>
          <w:trHeight w:val="90"/>
          <w:jc w:val="center"/>
        </w:trPr>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619F8710" w14:textId="77777777" w:rsidR="002A7299" w:rsidRPr="008D7493" w:rsidRDefault="002A7299" w:rsidP="001C0AC5">
            <w:r w:rsidRPr="008D7493">
              <w:t>Application Close</w:t>
            </w:r>
            <w:r w:rsidRPr="008D7493">
              <w:rPr>
                <w:rFonts w:ascii="Arial" w:hAnsi="Arial" w:cs="Arial"/>
              </w:rPr>
              <w:t> </w:t>
            </w:r>
            <w:r w:rsidRPr="008D7493">
              <w:t>Date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00D6E05" w14:textId="0666DBD1" w:rsidR="002A7299" w:rsidRPr="008D7493" w:rsidRDefault="007B46FF" w:rsidP="001C0AC5">
            <w:r>
              <w:rPr>
                <w:b/>
                <w:bCs/>
                <w:color w:val="FF0000"/>
              </w:rPr>
              <w:t>2</w:t>
            </w:r>
            <w:r w:rsidR="006C4B72">
              <w:rPr>
                <w:b/>
                <w:bCs/>
                <w:color w:val="FF0000"/>
              </w:rPr>
              <w:t>6</w:t>
            </w:r>
            <w:r w:rsidRPr="2EBBAFFF">
              <w:rPr>
                <w:b/>
                <w:bCs/>
                <w:color w:val="FF0000"/>
              </w:rPr>
              <w:t xml:space="preserve"> </w:t>
            </w:r>
            <w:r>
              <w:rPr>
                <w:b/>
                <w:bCs/>
                <w:color w:val="FF0000"/>
              </w:rPr>
              <w:t xml:space="preserve">November </w:t>
            </w:r>
            <w:r w:rsidRPr="2EBBAFFF">
              <w:rPr>
                <w:b/>
                <w:bCs/>
                <w:color w:val="FF0000"/>
              </w:rPr>
              <w:t>2024 – 12.00 noon CET</w:t>
            </w:r>
          </w:p>
        </w:tc>
      </w:tr>
      <w:tr w:rsidR="002A7299" w:rsidRPr="008D7493" w14:paraId="4D248834"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37CDB164" w14:textId="4931395E" w:rsidR="002A7299" w:rsidRPr="008D7493" w:rsidRDefault="002A7299" w:rsidP="001C0AC5">
            <w:r>
              <w:t xml:space="preserve">Total budget </w:t>
            </w:r>
            <w:r w:rsidRPr="008D7493">
              <w:t> </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691B0891" w14:textId="47AF8314" w:rsidR="002A7299" w:rsidRPr="008D7493" w:rsidRDefault="009A4251" w:rsidP="001C0AC5">
            <w:r>
              <w:t>€2M</w:t>
            </w:r>
          </w:p>
        </w:tc>
      </w:tr>
      <w:tr w:rsidR="00584256" w:rsidRPr="008D7493" w14:paraId="63DA150B"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tcPr>
          <w:p w14:paraId="12016C93" w14:textId="2B720847" w:rsidR="00584256" w:rsidRDefault="00584256" w:rsidP="001C0AC5">
            <w:r>
              <w:t>Success sharing mechanism</w:t>
            </w:r>
          </w:p>
        </w:tc>
        <w:tc>
          <w:tcPr>
            <w:tcW w:w="4545" w:type="dxa"/>
            <w:tcBorders>
              <w:top w:val="single" w:sz="6" w:space="0" w:color="auto"/>
              <w:left w:val="single" w:sz="6" w:space="0" w:color="auto"/>
              <w:bottom w:val="single" w:sz="6" w:space="0" w:color="auto"/>
              <w:right w:val="single" w:sz="6" w:space="0" w:color="auto"/>
            </w:tcBorders>
            <w:shd w:val="clear" w:color="auto" w:fill="auto"/>
          </w:tcPr>
          <w:p w14:paraId="5BAF0184" w14:textId="55A92B82" w:rsidR="00584256" w:rsidRDefault="00584256" w:rsidP="001C0AC5">
            <w:r>
              <w:t>Revenue-based financing</w:t>
            </w:r>
          </w:p>
        </w:tc>
      </w:tr>
      <w:tr w:rsidR="002A7299" w:rsidRPr="008D7493" w14:paraId="05BA5008"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0D8A1174" w14:textId="6A34EC9D" w:rsidR="002A7299" w:rsidRPr="008D7493" w:rsidRDefault="007B46FF" w:rsidP="001C0AC5">
            <w:r>
              <w:t>Expert Evaluation</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C77A9D0" w14:textId="5CE49520" w:rsidR="002A7299" w:rsidRPr="008D7493" w:rsidRDefault="007B46FF" w:rsidP="001C0AC5">
            <w:r>
              <w:rPr>
                <w:rFonts w:cstheme="minorHAnsi"/>
              </w:rPr>
              <w:t>2</w:t>
            </w:r>
            <w:r w:rsidR="006C4B72">
              <w:rPr>
                <w:rFonts w:cstheme="minorHAnsi"/>
              </w:rPr>
              <w:t>6</w:t>
            </w:r>
            <w:r>
              <w:rPr>
                <w:rFonts w:cstheme="minorHAnsi"/>
              </w:rPr>
              <w:t xml:space="preserve"> November </w:t>
            </w:r>
            <w:r w:rsidRPr="004F35A0">
              <w:rPr>
                <w:rFonts w:cstheme="minorHAnsi"/>
              </w:rPr>
              <w:t xml:space="preserve">– </w:t>
            </w:r>
            <w:r>
              <w:rPr>
                <w:rFonts w:cstheme="minorHAnsi"/>
              </w:rPr>
              <w:t>6</w:t>
            </w:r>
            <w:r w:rsidRPr="004F35A0">
              <w:rPr>
                <w:rFonts w:cstheme="minorHAnsi"/>
              </w:rPr>
              <w:t xml:space="preserve"> </w:t>
            </w:r>
            <w:r>
              <w:rPr>
                <w:rFonts w:cstheme="minorHAnsi"/>
              </w:rPr>
              <w:t xml:space="preserve">December </w:t>
            </w:r>
            <w:r w:rsidRPr="004F35A0">
              <w:rPr>
                <w:rFonts w:cstheme="minorHAnsi"/>
              </w:rPr>
              <w:t>2024</w:t>
            </w:r>
          </w:p>
        </w:tc>
      </w:tr>
      <w:tr w:rsidR="002A7299" w:rsidRPr="008D7493" w14:paraId="7D7A1B4A"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tcPr>
          <w:p w14:paraId="579CF09D" w14:textId="229AB57F" w:rsidR="002A7299" w:rsidRPr="008D7493" w:rsidRDefault="007B46FF" w:rsidP="001C0AC5">
            <w:r>
              <w:t>Panels</w:t>
            </w:r>
          </w:p>
        </w:tc>
        <w:tc>
          <w:tcPr>
            <w:tcW w:w="4545" w:type="dxa"/>
            <w:tcBorders>
              <w:top w:val="single" w:sz="6" w:space="0" w:color="auto"/>
              <w:left w:val="single" w:sz="6" w:space="0" w:color="auto"/>
              <w:bottom w:val="single" w:sz="6" w:space="0" w:color="auto"/>
              <w:right w:val="single" w:sz="6" w:space="0" w:color="auto"/>
            </w:tcBorders>
            <w:shd w:val="clear" w:color="auto" w:fill="auto"/>
          </w:tcPr>
          <w:p w14:paraId="598C7BE6" w14:textId="5BEB4F94" w:rsidR="002A7299" w:rsidRPr="008D7493" w:rsidRDefault="007B46FF" w:rsidP="007B46FF">
            <w:r>
              <w:rPr>
                <w:rFonts w:cstheme="minorHAnsi"/>
              </w:rPr>
              <w:t>9</w:t>
            </w:r>
            <w:r w:rsidRPr="004F35A0">
              <w:rPr>
                <w:rFonts w:cstheme="minorHAnsi"/>
              </w:rPr>
              <w:t xml:space="preserve"> - </w:t>
            </w:r>
            <w:r>
              <w:rPr>
                <w:rFonts w:cstheme="minorHAnsi"/>
              </w:rPr>
              <w:t>13</w:t>
            </w:r>
            <w:r w:rsidRPr="004F35A0">
              <w:rPr>
                <w:rFonts w:cstheme="minorHAnsi"/>
              </w:rPr>
              <w:t xml:space="preserve"> </w:t>
            </w:r>
            <w:r>
              <w:rPr>
                <w:rFonts w:cstheme="minorHAnsi"/>
              </w:rPr>
              <w:t xml:space="preserve">December </w:t>
            </w:r>
            <w:r w:rsidRPr="004F35A0">
              <w:rPr>
                <w:rFonts w:cstheme="minorHAnsi"/>
              </w:rPr>
              <w:t>2024</w:t>
            </w:r>
          </w:p>
        </w:tc>
      </w:tr>
      <w:tr w:rsidR="002A7299" w:rsidRPr="008D7493" w14:paraId="35F322FE"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tcPr>
          <w:p w14:paraId="5075E5EF" w14:textId="3C06B386" w:rsidR="002A7299" w:rsidRPr="008D7493" w:rsidRDefault="007B46FF" w:rsidP="001C0AC5">
            <w:r w:rsidRPr="004F35A0">
              <w:rPr>
                <w:rFonts w:cstheme="minorHAnsi"/>
              </w:rPr>
              <w:t>Communication to selected participants</w:t>
            </w:r>
          </w:p>
        </w:tc>
        <w:tc>
          <w:tcPr>
            <w:tcW w:w="4545" w:type="dxa"/>
            <w:tcBorders>
              <w:top w:val="single" w:sz="6" w:space="0" w:color="auto"/>
              <w:left w:val="single" w:sz="6" w:space="0" w:color="auto"/>
              <w:bottom w:val="single" w:sz="6" w:space="0" w:color="auto"/>
              <w:right w:val="single" w:sz="6" w:space="0" w:color="auto"/>
            </w:tcBorders>
            <w:shd w:val="clear" w:color="auto" w:fill="auto"/>
          </w:tcPr>
          <w:p w14:paraId="5E4270ED" w14:textId="28345F29" w:rsidR="002A7299" w:rsidRPr="008D7493" w:rsidRDefault="007B46FF" w:rsidP="007B46FF">
            <w:r>
              <w:rPr>
                <w:rFonts w:cstheme="minorHAnsi"/>
              </w:rPr>
              <w:t>18</w:t>
            </w:r>
            <w:r w:rsidRPr="004F35A0">
              <w:rPr>
                <w:rFonts w:cstheme="minorHAnsi"/>
              </w:rPr>
              <w:t xml:space="preserve"> </w:t>
            </w:r>
            <w:r>
              <w:rPr>
                <w:rFonts w:cstheme="minorHAnsi"/>
              </w:rPr>
              <w:t xml:space="preserve">December </w:t>
            </w:r>
            <w:r w:rsidRPr="004F35A0">
              <w:rPr>
                <w:rFonts w:cstheme="minorHAnsi"/>
              </w:rPr>
              <w:t>2024</w:t>
            </w:r>
          </w:p>
        </w:tc>
      </w:tr>
      <w:tr w:rsidR="002A7299" w:rsidRPr="008D7493" w14:paraId="22640A44"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4B923D85" w14:textId="5539F2C5" w:rsidR="002A7299" w:rsidRPr="008D7493" w:rsidRDefault="007B46FF" w:rsidP="001C0AC5">
            <w:r w:rsidRPr="586DA79C">
              <w:t>Validation and Contracting</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44EE996" w14:textId="33446B4F" w:rsidR="002A7299" w:rsidRPr="008D7493" w:rsidRDefault="007B46FF" w:rsidP="001C0AC5">
            <w:r w:rsidRPr="586DA79C">
              <w:t>Six to eight weeks after provided all documents have been submitted by the applicant</w:t>
            </w:r>
          </w:p>
        </w:tc>
      </w:tr>
      <w:tr w:rsidR="002A7299" w:rsidRPr="008D7493" w14:paraId="0359502A" w14:textId="77777777" w:rsidTr="002A7299">
        <w:trPr>
          <w:trHeight w:val="30"/>
          <w:jc w:val="center"/>
        </w:trPr>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72EAA652" w14:textId="0C90F3ED" w:rsidR="002A7299" w:rsidRPr="008D7493" w:rsidRDefault="007B46FF" w:rsidP="001C0AC5">
            <w:r w:rsidRPr="586DA79C">
              <w:t>Indicative start of project implementation</w:t>
            </w:r>
          </w:p>
        </w:tc>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EFB8CE7" w14:textId="05D5702F" w:rsidR="002A7299" w:rsidRPr="008D7493" w:rsidRDefault="0091457A" w:rsidP="001C0AC5">
            <w:r>
              <w:t>0</w:t>
            </w:r>
            <w:r w:rsidR="007B46FF" w:rsidRPr="586DA79C">
              <w:t>1 February 2025</w:t>
            </w:r>
          </w:p>
        </w:tc>
      </w:tr>
    </w:tbl>
    <w:p w14:paraId="3CB3A4F4" w14:textId="77777777" w:rsidR="00A00056" w:rsidRDefault="00A00056" w:rsidP="00A00056"/>
    <w:p w14:paraId="4C5CEBF9" w14:textId="0B11AAD0" w:rsidR="009631B6" w:rsidRDefault="018ECCE2" w:rsidP="2EBBAFFF">
      <w:pPr>
        <w:pStyle w:val="Heading1"/>
        <w:numPr>
          <w:ilvl w:val="0"/>
          <w:numId w:val="19"/>
        </w:numPr>
      </w:pPr>
      <w:bookmarkStart w:id="8" w:name="_Toc285173413"/>
      <w:r>
        <w:t>K</w:t>
      </w:r>
      <w:r w:rsidR="00D93D49">
        <w:t xml:space="preserve">ey </w:t>
      </w:r>
      <w:r w:rsidR="07DB18F0">
        <w:t>Performance</w:t>
      </w:r>
      <w:r w:rsidR="00D93D49">
        <w:t xml:space="preserve"> </w:t>
      </w:r>
      <w:r>
        <w:t>I</w:t>
      </w:r>
      <w:r w:rsidR="00D93D49">
        <w:t>ndicator</w:t>
      </w:r>
      <w:r>
        <w:t>s</w:t>
      </w:r>
      <w:r w:rsidR="00D93D49">
        <w:t xml:space="preserve"> (KP</w:t>
      </w:r>
      <w:r w:rsidR="00D31263">
        <w:t>I</w:t>
      </w:r>
      <w:r w:rsidR="00D93D49">
        <w:t>)</w:t>
      </w:r>
      <w:r w:rsidR="058875DA">
        <w:t xml:space="preserve"> and </w:t>
      </w:r>
      <w:r w:rsidR="5928A7A0">
        <w:t>Deliverables</w:t>
      </w:r>
      <w:bookmarkEnd w:id="8"/>
    </w:p>
    <w:p w14:paraId="3D232AAC" w14:textId="77777777" w:rsidR="007B46FF" w:rsidRPr="007B46FF" w:rsidRDefault="007B46FF" w:rsidP="007B46FF">
      <w:pPr>
        <w:pStyle w:val="Body"/>
      </w:pPr>
    </w:p>
    <w:p w14:paraId="5C779529" w14:textId="67944FED" w:rsidR="009631B6" w:rsidRDefault="63D082AE" w:rsidP="008E2BB5">
      <w:pPr>
        <w:pStyle w:val="Heading2"/>
      </w:pPr>
      <w:bookmarkStart w:id="9" w:name="_Toc281933175"/>
      <w:r>
        <w:t>4.1. K</w:t>
      </w:r>
      <w:r w:rsidR="00D31263">
        <w:t>ey P</w:t>
      </w:r>
      <w:r>
        <w:t>erformance Indicators</w:t>
      </w:r>
      <w:bookmarkEnd w:id="9"/>
    </w:p>
    <w:p w14:paraId="0159D200" w14:textId="77777777" w:rsidR="007B46FF" w:rsidRPr="007B46FF" w:rsidRDefault="007B46FF" w:rsidP="007B46FF"/>
    <w:p w14:paraId="1C70820C" w14:textId="13BC5904" w:rsidR="009631B6" w:rsidRDefault="3663DF18" w:rsidP="2EBBAFFF">
      <w:r>
        <w:t xml:space="preserve">All </w:t>
      </w:r>
      <w:r w:rsidRPr="2EBBAFFF">
        <w:rPr>
          <w:b/>
          <w:bCs/>
        </w:rPr>
        <w:t xml:space="preserve">EIT Food funded </w:t>
      </w:r>
      <w:r>
        <w:t>projects aimed at testing, launching, or scaling products and services should achieve relevant Core K</w:t>
      </w:r>
      <w:r w:rsidR="00D93D49">
        <w:t>ey</w:t>
      </w:r>
      <w:r>
        <w:t xml:space="preserve"> Performance Indicators (KPIs). For the Fast Track to Market initiative, the main KPI is called </w:t>
      </w:r>
      <w:r w:rsidRPr="2EBBAFFF">
        <w:rPr>
          <w:b/>
          <w:bCs/>
        </w:rPr>
        <w:t>Marketed Innovations (</w:t>
      </w:r>
      <w:hyperlink r:id="rId18" w:history="1">
        <w:r w:rsidRPr="2EBBAFFF">
          <w:rPr>
            <w:rStyle w:val="Hyperlink"/>
            <w:b/>
            <w:bCs/>
          </w:rPr>
          <w:t>EITHE0.2.4</w:t>
        </w:r>
      </w:hyperlink>
      <w:r w:rsidRPr="2EBBAFFF">
        <w:rPr>
          <w:b/>
          <w:bCs/>
        </w:rPr>
        <w:t>)</w:t>
      </w:r>
      <w:r>
        <w:t>, which is an indicator of products reaching the market and generating sales.</w:t>
      </w:r>
    </w:p>
    <w:p w14:paraId="557BDF76" w14:textId="7DDCAB55" w:rsidR="009631B6" w:rsidRDefault="352E7100" w:rsidP="2EBBAFFF">
      <w:r>
        <w:t xml:space="preserve">EIT Food tracks </w:t>
      </w:r>
      <w:r w:rsidRPr="586DA79C">
        <w:rPr>
          <w:b/>
          <w:bCs/>
        </w:rPr>
        <w:t>Marketed Innovations</w:t>
      </w:r>
      <w:r>
        <w:t xml:space="preserve"> by requiring specific reporting documentation at the end of the funding period </w:t>
      </w:r>
      <w:r w:rsidR="6D608E4E">
        <w:t>to</w:t>
      </w:r>
      <w:r>
        <w:t xml:space="preserve"> prove the number of innovations introduced on the market during the project duration with a sales revenue of at least 10 000 EUR. For the required supporting evidence please see </w:t>
      </w:r>
      <w:hyperlink r:id="rId19">
        <w:r w:rsidR="3FE396F2" w:rsidRPr="586DA79C">
          <w:rPr>
            <w:rStyle w:val="Hyperlink"/>
            <w:u w:val="single"/>
          </w:rPr>
          <w:t>EIT Food KPIs document</w:t>
        </w:r>
      </w:hyperlink>
      <w:r w:rsidR="3FE396F2">
        <w:t>.</w:t>
      </w:r>
    </w:p>
    <w:p w14:paraId="39CA9F85" w14:textId="0BBF4DEE" w:rsidR="009631B6" w:rsidRDefault="63D082AE" w:rsidP="008E2BB5">
      <w:pPr>
        <w:pStyle w:val="Heading2"/>
      </w:pPr>
      <w:bookmarkStart w:id="10" w:name="_Toc1512334687"/>
      <w:r>
        <w:t>4.2. Deliverables</w:t>
      </w:r>
      <w:bookmarkEnd w:id="10"/>
    </w:p>
    <w:p w14:paraId="5DDB4EA2" w14:textId="77777777" w:rsidR="007B46FF" w:rsidRPr="007B46FF" w:rsidRDefault="007B46FF" w:rsidP="007B46FF"/>
    <w:p w14:paraId="22C645D8" w14:textId="77777777" w:rsidR="009631B6" w:rsidRDefault="3663DF18" w:rsidP="2EBBAFFF">
      <w:r>
        <w:lastRenderedPageBreak/>
        <w:t>All proposals must include the following mandatory deliverables in their workplans for Fast Track to Market:</w:t>
      </w:r>
    </w:p>
    <w:p w14:paraId="7235E8CD" w14:textId="77777777" w:rsidR="00F42D2B" w:rsidRDefault="63D082AE" w:rsidP="2EBBAFFF">
      <w:pPr>
        <w:pStyle w:val="ListParagraph"/>
        <w:numPr>
          <w:ilvl w:val="0"/>
          <w:numId w:val="16"/>
        </w:numPr>
      </w:pPr>
      <w:r>
        <w:t xml:space="preserve">DEL 1: </w:t>
      </w:r>
      <w:r w:rsidR="00F42D2B">
        <w:t>C</w:t>
      </w:r>
      <w:r>
        <w:t>ommercial agreement</w:t>
      </w:r>
      <w:r w:rsidR="00F42D2B">
        <w:t>(s)</w:t>
      </w:r>
    </w:p>
    <w:p w14:paraId="10D5A37A" w14:textId="7F3C1B2B" w:rsidR="009631B6" w:rsidRPr="0022704B" w:rsidRDefault="0022704B" w:rsidP="00F42D2B">
      <w:pPr>
        <w:pStyle w:val="ListParagraph"/>
        <w:numPr>
          <w:ilvl w:val="1"/>
          <w:numId w:val="16"/>
        </w:numPr>
        <w:rPr>
          <w:i/>
          <w:iCs/>
        </w:rPr>
      </w:pPr>
      <w:r w:rsidRPr="0022704B">
        <w:rPr>
          <w:i/>
          <w:iCs/>
        </w:rPr>
        <w:t>Contracts and orders</w:t>
      </w:r>
      <w:r w:rsidR="00186249">
        <w:rPr>
          <w:i/>
          <w:iCs/>
        </w:rPr>
        <w:t xml:space="preserve"> with third-parties</w:t>
      </w:r>
      <w:r w:rsidRPr="0022704B">
        <w:rPr>
          <w:i/>
          <w:iCs/>
        </w:rPr>
        <w:t xml:space="preserve">, or equivalent documentation, indicating commercial traction </w:t>
      </w:r>
      <w:r w:rsidR="00116C9C">
        <w:rPr>
          <w:i/>
          <w:iCs/>
        </w:rPr>
        <w:t xml:space="preserve">and uptake </w:t>
      </w:r>
      <w:r w:rsidRPr="0022704B">
        <w:rPr>
          <w:i/>
          <w:iCs/>
        </w:rPr>
        <w:t>of fast-tracked innovation(s)</w:t>
      </w:r>
      <w:r w:rsidR="63D082AE" w:rsidRPr="0022704B">
        <w:rPr>
          <w:i/>
          <w:iCs/>
        </w:rPr>
        <w:t xml:space="preserve"> </w:t>
      </w:r>
    </w:p>
    <w:p w14:paraId="7EE53B57" w14:textId="23AB25F7" w:rsidR="009631B6" w:rsidRDefault="3663DF18" w:rsidP="2EBBAFFF">
      <w:pPr>
        <w:pStyle w:val="ListParagraph"/>
        <w:numPr>
          <w:ilvl w:val="0"/>
          <w:numId w:val="16"/>
        </w:numPr>
      </w:pPr>
      <w:r>
        <w:t xml:space="preserve">DEL 2: </w:t>
      </w:r>
      <w:r w:rsidR="00711B5A">
        <w:t>F</w:t>
      </w:r>
      <w:r>
        <w:t>inal Communication and Dissemination report</w:t>
      </w:r>
    </w:p>
    <w:p w14:paraId="29AF9D00" w14:textId="59311FB3" w:rsidR="009631B6" w:rsidRDefault="63D082AE" w:rsidP="16006973">
      <w:pPr>
        <w:pStyle w:val="ListParagraph"/>
        <w:numPr>
          <w:ilvl w:val="0"/>
          <w:numId w:val="16"/>
        </w:numPr>
      </w:pPr>
      <w:r>
        <w:t xml:space="preserve">DEL 3: </w:t>
      </w:r>
      <w:r w:rsidR="0022704B">
        <w:t>F</w:t>
      </w:r>
      <w:r>
        <w:t>inal technical and commercial report</w:t>
      </w:r>
    </w:p>
    <w:p w14:paraId="49462FB0" w14:textId="7BD8922F" w:rsidR="0022704B" w:rsidRPr="00116C9C" w:rsidRDefault="00430D3C" w:rsidP="23421A4C">
      <w:pPr>
        <w:pStyle w:val="ListParagraph"/>
        <w:numPr>
          <w:ilvl w:val="1"/>
          <w:numId w:val="16"/>
        </w:numPr>
        <w:rPr>
          <w:i/>
          <w:iCs/>
        </w:rPr>
      </w:pPr>
      <w:r w:rsidRPr="23421A4C">
        <w:rPr>
          <w:i/>
          <w:iCs/>
        </w:rPr>
        <w:t xml:space="preserve">Summary of activities </w:t>
      </w:r>
      <w:r w:rsidR="005D3E40" w:rsidRPr="23421A4C">
        <w:rPr>
          <w:i/>
          <w:iCs/>
        </w:rPr>
        <w:t xml:space="preserve">undertaken during testing, launching, and scaling of fast-tracked innovation(s) and their subsequent results </w:t>
      </w:r>
      <w:r w:rsidR="001616AC" w:rsidRPr="23421A4C">
        <w:rPr>
          <w:i/>
          <w:iCs/>
        </w:rPr>
        <w:t xml:space="preserve"> </w:t>
      </w:r>
    </w:p>
    <w:p w14:paraId="045D20F0" w14:textId="23A62670" w:rsidR="009631B6" w:rsidRDefault="1FD0654B" w:rsidP="23421A4C">
      <w:r w:rsidRPr="23421A4C">
        <w:t xml:space="preserve">Grant </w:t>
      </w:r>
      <w:r w:rsidR="1F32F78A" w:rsidRPr="23421A4C">
        <w:t>r</w:t>
      </w:r>
      <w:r w:rsidRPr="23421A4C">
        <w:t>ecipient</w:t>
      </w:r>
      <w:r w:rsidR="0C470B5B" w:rsidRPr="23421A4C">
        <w:t>s have</w:t>
      </w:r>
      <w:r w:rsidRPr="23421A4C">
        <w:t xml:space="preserve"> </w:t>
      </w:r>
      <w:r w:rsidR="7299A6AB" w:rsidRPr="23421A4C">
        <w:t>obligations on</w:t>
      </w:r>
      <w:r w:rsidRPr="23421A4C">
        <w:t xml:space="preserve"> communication, dissemination and visibility rules</w:t>
      </w:r>
      <w:r w:rsidR="24B33695" w:rsidRPr="23421A4C">
        <w:t xml:space="preserve">. Please see Article 17 of the </w:t>
      </w:r>
      <w:hyperlink r:id="rId20">
        <w:r w:rsidR="24B33695" w:rsidRPr="23421A4C">
          <w:rPr>
            <w:rStyle w:val="Hyperlink"/>
            <w:u w:val="single"/>
          </w:rPr>
          <w:t>Model Grant Agreeme</w:t>
        </w:r>
        <w:r w:rsidR="6298174B" w:rsidRPr="23421A4C">
          <w:rPr>
            <w:rStyle w:val="Hyperlink"/>
            <w:u w:val="single"/>
          </w:rPr>
          <w:t>nt</w:t>
        </w:r>
      </w:hyperlink>
      <w:r w:rsidR="24B33695" w:rsidRPr="23421A4C">
        <w:t xml:space="preserve"> and </w:t>
      </w:r>
      <w:r w:rsidR="2C1BA901" w:rsidRPr="23421A4C">
        <w:t>EIT Food’s</w:t>
      </w:r>
      <w:r w:rsidR="24B33695" w:rsidRPr="23421A4C">
        <w:t xml:space="preserve"> </w:t>
      </w:r>
      <w:hyperlink r:id="rId21">
        <w:r w:rsidR="24B33695" w:rsidRPr="23421A4C">
          <w:rPr>
            <w:rStyle w:val="Hyperlink"/>
            <w:u w:val="single"/>
          </w:rPr>
          <w:t>Brand Guidelines</w:t>
        </w:r>
      </w:hyperlink>
      <w:r w:rsidR="5A5AEDDB" w:rsidRPr="23421A4C">
        <w:t>.</w:t>
      </w:r>
    </w:p>
    <w:p w14:paraId="52555062" w14:textId="389B4544" w:rsidR="009631B6" w:rsidRDefault="6B5B4CA1" w:rsidP="23421A4C">
      <w:pPr>
        <w:rPr>
          <w:rFonts w:ascii="Calibri" w:eastAsia="Calibri" w:hAnsi="Calibri" w:cs="Calibri"/>
        </w:rPr>
      </w:pPr>
      <w:r w:rsidRPr="23421A4C">
        <w:rPr>
          <w:rFonts w:ascii="Calibri" w:eastAsia="Calibri" w:hAnsi="Calibri" w:cs="Calibri"/>
        </w:rPr>
        <w:t xml:space="preserve">Grant recipients must </w:t>
      </w:r>
      <w:r w:rsidR="6E399F20" w:rsidRPr="23421A4C">
        <w:rPr>
          <w:rFonts w:ascii="Calibri" w:eastAsia="Calibri" w:hAnsi="Calibri" w:cs="Calibri"/>
        </w:rPr>
        <w:t>adhere to</w:t>
      </w:r>
      <w:r w:rsidRPr="23421A4C">
        <w:rPr>
          <w:rFonts w:ascii="Calibri" w:eastAsia="Calibri" w:hAnsi="Calibri" w:cs="Calibri"/>
        </w:rPr>
        <w:t xml:space="preserve"> </w:t>
      </w:r>
      <w:hyperlink r:id="rId22">
        <w:r w:rsidR="19E26615" w:rsidRPr="23421A4C">
          <w:rPr>
            <w:rStyle w:val="Hyperlink"/>
            <w:rFonts w:ascii="Calibri" w:eastAsia="Calibri" w:hAnsi="Calibri" w:cs="Calibri"/>
            <w:u w:val="single"/>
          </w:rPr>
          <w:t>EIT Food Intellectual Property´s (IP) Policy</w:t>
        </w:r>
      </w:hyperlink>
      <w:r w:rsidR="19E26615" w:rsidRPr="23421A4C">
        <w:rPr>
          <w:rFonts w:ascii="Calibri" w:eastAsia="Calibri" w:hAnsi="Calibri" w:cs="Calibri"/>
        </w:rPr>
        <w:t xml:space="preserve"> </w:t>
      </w:r>
      <w:r w:rsidR="3FC16229" w:rsidRPr="23421A4C">
        <w:rPr>
          <w:rFonts w:ascii="Calibri" w:eastAsia="Calibri" w:hAnsi="Calibri" w:cs="Calibri"/>
        </w:rPr>
        <w:t xml:space="preserve">which </w:t>
      </w:r>
      <w:r w:rsidR="19E26615" w:rsidRPr="23421A4C">
        <w:rPr>
          <w:rFonts w:ascii="Calibri" w:eastAsia="Calibri" w:hAnsi="Calibri" w:cs="Calibri"/>
        </w:rPr>
        <w:t>complies with</w:t>
      </w:r>
      <w:r w:rsidR="05AB2CF4" w:rsidRPr="23421A4C">
        <w:rPr>
          <w:rFonts w:ascii="Calibri" w:eastAsia="Calibri" w:hAnsi="Calibri" w:cs="Calibri"/>
        </w:rPr>
        <w:t xml:space="preserve"> the IP provisions outlined in Article 16 of the Horizon Europe </w:t>
      </w:r>
      <w:hyperlink r:id="rId23">
        <w:r w:rsidR="05AB2CF4" w:rsidRPr="23421A4C">
          <w:rPr>
            <w:rStyle w:val="Hyperlink"/>
            <w:rFonts w:ascii="Calibri" w:eastAsia="Calibri" w:hAnsi="Calibri" w:cs="Calibri"/>
            <w:u w:val="single"/>
          </w:rPr>
          <w:t>Model Grant Agreement</w:t>
        </w:r>
      </w:hyperlink>
      <w:r w:rsidR="05AB2CF4" w:rsidRPr="23421A4C">
        <w:rPr>
          <w:rFonts w:ascii="Calibri" w:eastAsia="Calibri" w:hAnsi="Calibri" w:cs="Calibri"/>
        </w:rPr>
        <w:t>.</w:t>
      </w:r>
    </w:p>
    <w:p w14:paraId="1DB2259C" w14:textId="532028E2" w:rsidR="009631B6" w:rsidRDefault="211C7180" w:rsidP="2EBBAFFF">
      <w:pPr>
        <w:pStyle w:val="Heading1"/>
        <w:rPr>
          <w:b/>
          <w:bCs/>
        </w:rPr>
      </w:pPr>
      <w:bookmarkStart w:id="11" w:name="_Toc1306189232"/>
      <w:r>
        <w:t xml:space="preserve">5. </w:t>
      </w:r>
      <w:r w:rsidR="1C97AF6C">
        <w:t>Eligibility</w:t>
      </w:r>
      <w:bookmarkEnd w:id="11"/>
    </w:p>
    <w:p w14:paraId="79C11F55" w14:textId="515D4047" w:rsidR="16006973" w:rsidRDefault="16006973"/>
    <w:p w14:paraId="4B1C436B" w14:textId="14AEB05E" w:rsidR="00CF6C40" w:rsidRPr="004F35A0" w:rsidRDefault="1FDFDE69" w:rsidP="00CF6C40">
      <w:r>
        <w:t xml:space="preserve">The Fast Track to Market is addressed to </w:t>
      </w:r>
      <w:r w:rsidR="71D55A4F" w:rsidRPr="2EBBAFFF">
        <w:rPr>
          <w:b/>
          <w:bCs/>
        </w:rPr>
        <w:t>a mono</w:t>
      </w:r>
      <w:r w:rsidRPr="2EBBAFFF">
        <w:rPr>
          <w:b/>
          <w:bCs/>
        </w:rPr>
        <w:t>-beneficiary</w:t>
      </w:r>
      <w:r>
        <w:t>, therefore proposals must be submitted by one single entity only. Proposals with multiple entities will be deemed ineligible.</w:t>
      </w:r>
    </w:p>
    <w:p w14:paraId="16534746" w14:textId="76066619" w:rsidR="00CF6C40" w:rsidRPr="004F35A0" w:rsidRDefault="0BE16F7C" w:rsidP="00CF6C40">
      <w:r>
        <w:t xml:space="preserve">All submitted applications will undergo an eligibility check </w:t>
      </w:r>
      <w:r w:rsidR="1A67B05C">
        <w:t>to</w:t>
      </w:r>
      <w:r>
        <w:t xml:space="preserve"> advance to the evaluation stage, according to the evaluation criteria below. Note that EIT Food may ask for additional financial documentation of your company, according to the criteria below and documentation package you provide as part of the application.</w:t>
      </w:r>
    </w:p>
    <w:p w14:paraId="13E21562" w14:textId="77777777" w:rsidR="00CF6C40" w:rsidRPr="004F35A0" w:rsidRDefault="18D82A74" w:rsidP="00CF6C40">
      <w:r>
        <w:t xml:space="preserve">Please read </w:t>
      </w:r>
      <w:r w:rsidRPr="586DA79C">
        <w:t>Annex 1 carefully, in addition to the following eligibility criteria:</w:t>
      </w:r>
    </w:p>
    <w:tbl>
      <w:tblPr>
        <w:tblStyle w:val="TableGrid"/>
        <w:tblpPr w:leftFromText="180" w:rightFromText="180" w:vertAnchor="text" w:tblpY="1"/>
        <w:tblOverlap w:val="never"/>
        <w:tblW w:w="901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385"/>
        <w:gridCol w:w="6630"/>
      </w:tblGrid>
      <w:tr w:rsidR="00CF6C40" w:rsidRPr="004F35A0" w14:paraId="27F6EC13" w14:textId="77777777" w:rsidTr="23421A4C">
        <w:trPr>
          <w:trHeight w:val="390"/>
        </w:trPr>
        <w:tc>
          <w:tcPr>
            <w:tcW w:w="2385" w:type="dxa"/>
            <w:shd w:val="clear" w:color="auto" w:fill="EDEDED" w:themeFill="accent3" w:themeFillTint="33"/>
          </w:tcPr>
          <w:p w14:paraId="635B18FB" w14:textId="77777777" w:rsidR="00CF6C40" w:rsidRPr="004F35A0" w:rsidRDefault="00CF6C40" w:rsidP="0032609B">
            <w:pPr>
              <w:rPr>
                <w:rFonts w:ascii="Calibri" w:eastAsia="Calibri" w:hAnsi="Calibri" w:cs="Calibri"/>
                <w:color w:val="000000" w:themeColor="text1"/>
              </w:rPr>
            </w:pPr>
            <w:r w:rsidRPr="004F35A0">
              <w:rPr>
                <w:rFonts w:ascii="Calibri" w:eastAsia="Calibri" w:hAnsi="Calibri" w:cs="Calibri"/>
                <w:color w:val="000000" w:themeColor="text1"/>
              </w:rPr>
              <w:t xml:space="preserve">Organisation Eligibility  </w:t>
            </w:r>
          </w:p>
        </w:tc>
        <w:tc>
          <w:tcPr>
            <w:tcW w:w="6630" w:type="dxa"/>
            <w:shd w:val="clear" w:color="auto" w:fill="EDEDED" w:themeFill="accent3" w:themeFillTint="33"/>
          </w:tcPr>
          <w:p w14:paraId="38DA40DB" w14:textId="77777777" w:rsidR="00CF6C40" w:rsidRPr="004F35A0" w:rsidRDefault="00CF6C40" w:rsidP="0032609B">
            <w:pPr>
              <w:rPr>
                <w:rFonts w:ascii="Calibri" w:eastAsia="Calibri" w:hAnsi="Calibri" w:cs="Calibri"/>
                <w:color w:val="000000" w:themeColor="text1"/>
              </w:rPr>
            </w:pPr>
            <w:r w:rsidRPr="004F35A0">
              <w:rPr>
                <w:rFonts w:ascii="Calibri" w:eastAsia="Calibri" w:hAnsi="Calibri" w:cs="Calibri"/>
                <w:color w:val="000000" w:themeColor="text1"/>
              </w:rPr>
              <w:t xml:space="preserve">Each implementing participant must: </w:t>
            </w:r>
          </w:p>
        </w:tc>
      </w:tr>
      <w:tr w:rsidR="00CF6C40" w:rsidRPr="004F35A0" w14:paraId="69932368" w14:textId="77777777" w:rsidTr="23421A4C">
        <w:trPr>
          <w:trHeight w:val="689"/>
        </w:trPr>
        <w:tc>
          <w:tcPr>
            <w:tcW w:w="2385" w:type="dxa"/>
          </w:tcPr>
          <w:p w14:paraId="46CB5890" w14:textId="77777777" w:rsidR="00CF6C40" w:rsidRPr="004F35A0" w:rsidRDefault="00CF6C40" w:rsidP="0032609B">
            <w:pPr>
              <w:rPr>
                <w:rFonts w:ascii="Calibri" w:eastAsia="Calibri" w:hAnsi="Calibri" w:cs="Calibri"/>
                <w:color w:val="000000" w:themeColor="text1"/>
              </w:rPr>
            </w:pPr>
            <w:r w:rsidRPr="004F35A0">
              <w:rPr>
                <w:rFonts w:ascii="Calibri" w:eastAsia="Calibri" w:hAnsi="Calibri" w:cs="Calibri"/>
                <w:color w:val="000000" w:themeColor="text1"/>
              </w:rPr>
              <w:t xml:space="preserve">  </w:t>
            </w:r>
          </w:p>
        </w:tc>
        <w:tc>
          <w:tcPr>
            <w:tcW w:w="6630" w:type="dxa"/>
          </w:tcPr>
          <w:p w14:paraId="021166FB" w14:textId="77777777" w:rsidR="00CF6C40" w:rsidRPr="004F35A0" w:rsidRDefault="00CF6C40" w:rsidP="0032609B">
            <w:pPr>
              <w:pStyle w:val="ListParagraph"/>
              <w:numPr>
                <w:ilvl w:val="0"/>
                <w:numId w:val="13"/>
              </w:numPr>
              <w:rPr>
                <w:rFonts w:ascii="Calibri" w:eastAsia="Calibri" w:hAnsi="Calibri" w:cs="Calibri"/>
                <w:color w:val="000000" w:themeColor="text1"/>
              </w:rPr>
            </w:pPr>
            <w:r w:rsidRPr="004F35A0">
              <w:rPr>
                <w:rFonts w:ascii="Calibri" w:eastAsia="Calibri" w:hAnsi="Calibri" w:cs="Calibri"/>
                <w:color w:val="000000" w:themeColor="text1"/>
              </w:rPr>
              <w:t>Be a legally incorporated entity in one of the EU or Horizon Europe eligible country listed above for a minimum of 12 months of business activity.</w:t>
            </w:r>
          </w:p>
          <w:p w14:paraId="70A8566A" w14:textId="44BD52E9" w:rsidR="00CF6C40" w:rsidRPr="004F35A0" w:rsidRDefault="008A48E9" w:rsidP="0032609B">
            <w:pPr>
              <w:pStyle w:val="ListParagraph"/>
              <w:numPr>
                <w:ilvl w:val="0"/>
                <w:numId w:val="13"/>
              </w:numPr>
              <w:rPr>
                <w:rFonts w:ascii="Calibri" w:eastAsia="Calibri" w:hAnsi="Calibri" w:cs="Calibri"/>
                <w:color w:val="000000" w:themeColor="text1"/>
              </w:rPr>
            </w:pPr>
            <w:r>
              <w:rPr>
                <w:rFonts w:ascii="Calibri" w:eastAsia="Calibri" w:hAnsi="Calibri" w:cs="Calibri"/>
                <w:color w:val="000000" w:themeColor="text1"/>
              </w:rPr>
              <w:t xml:space="preserve">Have </w:t>
            </w:r>
            <w:r w:rsidR="00CF6C40" w:rsidRPr="004F35A0">
              <w:rPr>
                <w:rFonts w:ascii="Calibri" w:eastAsia="Calibri" w:hAnsi="Calibri" w:cs="Calibri"/>
                <w:color w:val="000000" w:themeColor="text1"/>
              </w:rPr>
              <w:t xml:space="preserve">a technology, product, service, or solution aligned to one of the three </w:t>
            </w:r>
            <w:hyperlink r:id="rId24" w:history="1">
              <w:r w:rsidR="00CF6C40" w:rsidRPr="008A48E9">
                <w:rPr>
                  <w:rStyle w:val="Hyperlink"/>
                  <w:rFonts w:ascii="Calibri" w:eastAsia="Calibri" w:hAnsi="Calibri" w:cs="Calibri"/>
                  <w:u w:val="single"/>
                </w:rPr>
                <w:t>EIT Food Missions</w:t>
              </w:r>
            </w:hyperlink>
            <w:r w:rsidR="00CF6C40" w:rsidRPr="004F35A0">
              <w:rPr>
                <w:rFonts w:ascii="Calibri" w:eastAsia="Calibri" w:hAnsi="Calibri" w:cs="Calibri"/>
                <w:color w:val="000000" w:themeColor="text1"/>
              </w:rPr>
              <w:t>. </w:t>
            </w:r>
          </w:p>
          <w:p w14:paraId="0508194C" w14:textId="44CD249E" w:rsidR="00CF6C40" w:rsidRPr="004F35A0" w:rsidRDefault="5A7E2592" w:rsidP="0032609B">
            <w:pPr>
              <w:pStyle w:val="ListParagraph"/>
              <w:numPr>
                <w:ilvl w:val="0"/>
                <w:numId w:val="13"/>
              </w:numPr>
              <w:rPr>
                <w:rFonts w:ascii="Calibri" w:eastAsia="Calibri" w:hAnsi="Calibri" w:cs="Calibri"/>
                <w:color w:val="000000" w:themeColor="text1"/>
              </w:rPr>
            </w:pPr>
            <w:r>
              <w:t>Be either i) a </w:t>
            </w:r>
            <w:hyperlink r:id="rId25">
              <w:r w:rsidRPr="586DA79C">
                <w:rPr>
                  <w:rStyle w:val="Hyperlink"/>
                  <w:u w:val="single"/>
                </w:rPr>
                <w:t>SMALL sized company</w:t>
              </w:r>
            </w:hyperlink>
            <w:r>
              <w:t> as defined in the </w:t>
            </w:r>
            <w:hyperlink r:id="rId26">
              <w:r w:rsidRPr="586DA79C">
                <w:rPr>
                  <w:rStyle w:val="Hyperlink"/>
                  <w:u w:val="single"/>
                </w:rPr>
                <w:t>EU recommendation 2003/361</w:t>
              </w:r>
            </w:hyperlink>
            <w:r>
              <w:t xml:space="preserve"> (less than 49 employees and less than 10 million in turnover or balance sheet), or ii) a </w:t>
            </w:r>
            <w:hyperlink r:id="rId27">
              <w:r w:rsidRPr="586DA79C">
                <w:rPr>
                  <w:rStyle w:val="Hyperlink"/>
                  <w:u w:val="single"/>
                </w:rPr>
                <w:t>MICRO sized company</w:t>
              </w:r>
            </w:hyperlink>
            <w:r>
              <w:t xml:space="preserve"> as defined in the </w:t>
            </w:r>
            <w:hyperlink r:id="rId28">
              <w:r w:rsidRPr="586DA79C">
                <w:rPr>
                  <w:rStyle w:val="Hyperlink"/>
                  <w:u w:val="single"/>
                </w:rPr>
                <w:t>EU recommendation 2003/361</w:t>
              </w:r>
            </w:hyperlink>
            <w:r>
              <w:t xml:space="preserve"> (less than 10</w:t>
            </w:r>
            <w:r w:rsidR="7C44AF6E">
              <w:t xml:space="preserve"> employees</w:t>
            </w:r>
            <w:r>
              <w:t>, and less than 2 million in turnover or balance sheet).</w:t>
            </w:r>
          </w:p>
          <w:p w14:paraId="22BF3BAC" w14:textId="77777777" w:rsidR="00CF6C40" w:rsidRPr="004F35A0" w:rsidRDefault="00CF6C40" w:rsidP="0032609B">
            <w:pPr>
              <w:pStyle w:val="ListParagraph"/>
              <w:numPr>
                <w:ilvl w:val="0"/>
                <w:numId w:val="13"/>
              </w:numPr>
              <w:rPr>
                <w:rFonts w:ascii="Calibri" w:eastAsia="Calibri" w:hAnsi="Calibri" w:cs="Calibri"/>
                <w:color w:val="000000" w:themeColor="text1"/>
              </w:rPr>
            </w:pPr>
            <w:r w:rsidRPr="004F35A0">
              <w:rPr>
                <w:rFonts w:ascii="Calibri" w:eastAsia="Calibri" w:hAnsi="Calibri" w:cs="Calibri"/>
                <w:color w:val="000000" w:themeColor="text1"/>
              </w:rPr>
              <w:t xml:space="preserve">Have a minimum of 3 full-time employees (3 FTEs) </w:t>
            </w:r>
          </w:p>
          <w:p w14:paraId="1D60FEC4" w14:textId="7A1AAF18" w:rsidR="00CF6C40" w:rsidRPr="004F35A0" w:rsidRDefault="40E06D2D" w:rsidP="0032609B">
            <w:pPr>
              <w:pStyle w:val="ListParagraph"/>
              <w:numPr>
                <w:ilvl w:val="0"/>
                <w:numId w:val="13"/>
              </w:numPr>
              <w:rPr>
                <w:rFonts w:ascii="Calibri" w:eastAsia="Calibri" w:hAnsi="Calibri" w:cs="Calibri"/>
                <w:color w:val="000000" w:themeColor="text1"/>
              </w:rPr>
            </w:pPr>
            <w:r w:rsidRPr="2EBBAFFF">
              <w:rPr>
                <w:rFonts w:ascii="Calibri" w:eastAsia="Calibri" w:hAnsi="Calibri" w:cs="Calibri"/>
                <w:color w:val="000000" w:themeColor="text1"/>
              </w:rPr>
              <w:t>Be already g</w:t>
            </w:r>
            <w:r w:rsidR="1FDFDE69" w:rsidRPr="2EBBAFFF">
              <w:rPr>
                <w:rFonts w:ascii="Calibri" w:eastAsia="Calibri" w:hAnsi="Calibri" w:cs="Calibri"/>
                <w:color w:val="000000" w:themeColor="text1"/>
              </w:rPr>
              <w:t xml:space="preserve">enerating </w:t>
            </w:r>
            <w:r w:rsidRPr="2EBBAFFF">
              <w:rPr>
                <w:rFonts w:ascii="Calibri" w:eastAsia="Calibri" w:hAnsi="Calibri" w:cs="Calibri"/>
                <w:color w:val="000000" w:themeColor="text1"/>
              </w:rPr>
              <w:t xml:space="preserve">recurring annual </w:t>
            </w:r>
            <w:r w:rsidR="1FDFDE69" w:rsidRPr="2EBBAFFF">
              <w:rPr>
                <w:rFonts w:ascii="Calibri" w:eastAsia="Calibri" w:hAnsi="Calibri" w:cs="Calibri"/>
                <w:color w:val="000000" w:themeColor="text1"/>
              </w:rPr>
              <w:t>revenues</w:t>
            </w:r>
          </w:p>
          <w:p w14:paraId="6A7D7234" w14:textId="6A113172" w:rsidR="00CF6C40" w:rsidRPr="004F35A0" w:rsidRDefault="18D82A74" w:rsidP="586DA79C">
            <w:pPr>
              <w:pStyle w:val="ListParagraph"/>
              <w:numPr>
                <w:ilvl w:val="0"/>
                <w:numId w:val="13"/>
              </w:numPr>
              <w:rPr>
                <w:rFonts w:ascii="Calibri" w:eastAsia="Calibri" w:hAnsi="Calibri" w:cs="Calibri"/>
                <w:color w:val="000000" w:themeColor="text1"/>
              </w:rPr>
            </w:pPr>
            <w:r w:rsidRPr="586DA79C">
              <w:rPr>
                <w:color w:val="000000" w:themeColor="text1"/>
              </w:rPr>
              <w:t>Provide a PIC Number:</w:t>
            </w:r>
            <w:r w:rsidRPr="586DA79C">
              <w:rPr>
                <w:color w:val="4472C4" w:themeColor="accent1"/>
              </w:rPr>
              <w:t xml:space="preserve"> </w:t>
            </w:r>
            <w:hyperlink r:id="rId29">
              <w:r w:rsidRPr="586DA79C">
                <w:rPr>
                  <w:rStyle w:val="Hyperlink"/>
                </w:rPr>
                <w:t>https://www.eitfood.eu/files/PIC-Guidance.pdf</w:t>
              </w:r>
            </w:hyperlink>
          </w:p>
        </w:tc>
      </w:tr>
      <w:tr w:rsidR="00CF6C40" w:rsidRPr="004F35A0" w14:paraId="3FF61537" w14:textId="77777777" w:rsidTr="23421A4C">
        <w:trPr>
          <w:trHeight w:val="405"/>
        </w:trPr>
        <w:tc>
          <w:tcPr>
            <w:tcW w:w="2385" w:type="dxa"/>
            <w:shd w:val="clear" w:color="auto" w:fill="EDEDED" w:themeFill="accent3" w:themeFillTint="33"/>
          </w:tcPr>
          <w:p w14:paraId="4CC249E9" w14:textId="77777777" w:rsidR="00CF6C40" w:rsidRPr="004F35A0" w:rsidRDefault="00CF6C40" w:rsidP="0032609B">
            <w:pPr>
              <w:rPr>
                <w:rFonts w:ascii="Calibri" w:eastAsia="Calibri" w:hAnsi="Calibri" w:cs="Calibri"/>
                <w:color w:val="000000" w:themeColor="text1"/>
              </w:rPr>
            </w:pPr>
            <w:r w:rsidRPr="004F35A0">
              <w:rPr>
                <w:rFonts w:ascii="Calibri" w:eastAsia="Calibri" w:hAnsi="Calibri" w:cs="Calibri"/>
                <w:color w:val="000000" w:themeColor="text1"/>
              </w:rPr>
              <w:t xml:space="preserve">Application Eligibility </w:t>
            </w:r>
          </w:p>
        </w:tc>
        <w:tc>
          <w:tcPr>
            <w:tcW w:w="6630" w:type="dxa"/>
            <w:shd w:val="clear" w:color="auto" w:fill="EDEDED" w:themeFill="accent3" w:themeFillTint="33"/>
          </w:tcPr>
          <w:p w14:paraId="549A5685" w14:textId="333D10FC" w:rsidR="00CF6C40" w:rsidRPr="004F35A0" w:rsidRDefault="00CF6C40" w:rsidP="0032609B">
            <w:pPr>
              <w:rPr>
                <w:rFonts w:ascii="Calibri" w:eastAsia="Calibri" w:hAnsi="Calibri" w:cs="Calibri"/>
                <w:color w:val="000000" w:themeColor="text1"/>
              </w:rPr>
            </w:pPr>
            <w:r w:rsidRPr="004F35A0">
              <w:rPr>
                <w:rFonts w:ascii="Calibri" w:eastAsia="Calibri" w:hAnsi="Calibri" w:cs="Calibri"/>
                <w:color w:val="000000" w:themeColor="text1"/>
              </w:rPr>
              <w:t xml:space="preserve">To </w:t>
            </w:r>
            <w:r w:rsidR="00202DF3">
              <w:rPr>
                <w:rFonts w:ascii="Calibri" w:eastAsia="Calibri" w:hAnsi="Calibri" w:cs="Calibri"/>
                <w:color w:val="000000" w:themeColor="text1"/>
              </w:rPr>
              <w:t xml:space="preserve">be </w:t>
            </w:r>
            <w:r w:rsidRPr="004F35A0">
              <w:rPr>
                <w:rFonts w:ascii="Calibri" w:eastAsia="Calibri" w:hAnsi="Calibri" w:cs="Calibri"/>
                <w:color w:val="000000" w:themeColor="text1"/>
              </w:rPr>
              <w:t>eligible</w:t>
            </w:r>
            <w:r w:rsidR="00202DF3">
              <w:rPr>
                <w:rFonts w:ascii="Calibri" w:eastAsia="Calibri" w:hAnsi="Calibri" w:cs="Calibri"/>
                <w:color w:val="000000" w:themeColor="text1"/>
              </w:rPr>
              <w:t>,</w:t>
            </w:r>
            <w:r w:rsidRPr="004F35A0">
              <w:rPr>
                <w:rFonts w:ascii="Calibri" w:eastAsia="Calibri" w:hAnsi="Calibri" w:cs="Calibri"/>
                <w:color w:val="000000" w:themeColor="text1"/>
              </w:rPr>
              <w:t xml:space="preserve"> applications must: </w:t>
            </w:r>
          </w:p>
        </w:tc>
      </w:tr>
      <w:tr w:rsidR="00CF6C40" w:rsidRPr="004F35A0" w14:paraId="701F903A" w14:textId="77777777" w:rsidTr="23421A4C">
        <w:trPr>
          <w:trHeight w:val="619"/>
        </w:trPr>
        <w:tc>
          <w:tcPr>
            <w:tcW w:w="2385" w:type="dxa"/>
          </w:tcPr>
          <w:p w14:paraId="5E98C435" w14:textId="77777777" w:rsidR="00CF6C40" w:rsidRPr="004F35A0" w:rsidRDefault="00CF6C40" w:rsidP="0032609B">
            <w:pPr>
              <w:rPr>
                <w:rFonts w:ascii="Calibri" w:eastAsia="Calibri" w:hAnsi="Calibri" w:cs="Calibri"/>
                <w:color w:val="000000" w:themeColor="text1"/>
              </w:rPr>
            </w:pPr>
            <w:r w:rsidRPr="004F35A0">
              <w:rPr>
                <w:rFonts w:ascii="Calibri" w:eastAsia="Calibri" w:hAnsi="Calibri" w:cs="Calibri"/>
                <w:color w:val="000000" w:themeColor="text1"/>
              </w:rPr>
              <w:t xml:space="preserve">  </w:t>
            </w:r>
          </w:p>
        </w:tc>
        <w:tc>
          <w:tcPr>
            <w:tcW w:w="6630" w:type="dxa"/>
          </w:tcPr>
          <w:p w14:paraId="25AC0E4E" w14:textId="77777777" w:rsidR="00CF6C40" w:rsidRPr="00202DF3" w:rsidRDefault="00CF6C40" w:rsidP="0032609B">
            <w:pPr>
              <w:pStyle w:val="ListParagraph"/>
              <w:numPr>
                <w:ilvl w:val="0"/>
                <w:numId w:val="15"/>
              </w:numPr>
              <w:rPr>
                <w:rFonts w:ascii="Calibri" w:eastAsia="Calibri" w:hAnsi="Calibri" w:cs="Calibri"/>
                <w:color w:val="000000" w:themeColor="text1"/>
              </w:rPr>
            </w:pPr>
            <w:r w:rsidRPr="00202DF3">
              <w:rPr>
                <w:rFonts w:ascii="Calibri" w:eastAsia="Calibri" w:hAnsi="Calibri" w:cs="Calibri"/>
                <w:color w:val="000000" w:themeColor="text1"/>
              </w:rPr>
              <w:t xml:space="preserve">Be complete, with all mandatory supporting documents, including: </w:t>
            </w:r>
          </w:p>
          <w:p w14:paraId="4D3E399B" w14:textId="4DBD9D23" w:rsidR="00CF6C40" w:rsidRDefault="73811040" w:rsidP="00202DF3">
            <w:pPr>
              <w:pStyle w:val="ListParagraph"/>
              <w:numPr>
                <w:ilvl w:val="1"/>
                <w:numId w:val="15"/>
              </w:numPr>
              <w:rPr>
                <w:lang w:eastAsia="en-GB"/>
              </w:rPr>
            </w:pPr>
            <w:r w:rsidRPr="586DA79C">
              <w:rPr>
                <w:lang w:eastAsia="en-GB"/>
              </w:rPr>
              <w:t>A written company business plan and presentation (i.e., pitch deck), outlining the commercial capacity and capabilities of your company as well as the readiness of your proposed fast-tracked product or solution for market entry / expansion</w:t>
            </w:r>
          </w:p>
          <w:p w14:paraId="1B3DFCEA" w14:textId="77777777" w:rsidR="00202DF3" w:rsidRDefault="00202DF3" w:rsidP="00202DF3">
            <w:pPr>
              <w:pStyle w:val="ListParagraph"/>
              <w:numPr>
                <w:ilvl w:val="1"/>
                <w:numId w:val="15"/>
              </w:numPr>
              <w:rPr>
                <w:lang w:eastAsia="en-GB"/>
              </w:rPr>
            </w:pPr>
            <w:r>
              <w:rPr>
                <w:lang w:eastAsia="en-GB"/>
              </w:rPr>
              <w:lastRenderedPageBreak/>
              <w:t>A project plan outlining the milestones and activities to achieve project completion (i.e., marketed innovation)</w:t>
            </w:r>
          </w:p>
          <w:p w14:paraId="341C4D7D" w14:textId="77777777" w:rsidR="00202DF3" w:rsidRDefault="00202DF3" w:rsidP="00202DF3">
            <w:pPr>
              <w:pStyle w:val="ListParagraph"/>
              <w:numPr>
                <w:ilvl w:val="1"/>
                <w:numId w:val="15"/>
              </w:numPr>
              <w:rPr>
                <w:lang w:eastAsia="en-GB"/>
              </w:rPr>
            </w:pPr>
            <w:r>
              <w:rPr>
                <w:lang w:eastAsia="en-GB"/>
              </w:rPr>
              <w:t>A budget plan outlining the expected costs for the proposed project scope, including co-funding ratio.</w:t>
            </w:r>
          </w:p>
          <w:p w14:paraId="4094C36C" w14:textId="74A3F150" w:rsidR="00202DF3" w:rsidRDefault="00202DF3" w:rsidP="00202DF3">
            <w:pPr>
              <w:pStyle w:val="ListParagraph"/>
              <w:numPr>
                <w:ilvl w:val="1"/>
                <w:numId w:val="15"/>
              </w:numPr>
              <w:rPr>
                <w:lang w:eastAsia="en-GB"/>
              </w:rPr>
            </w:pPr>
            <w:r>
              <w:rPr>
                <w:lang w:eastAsia="en-GB"/>
              </w:rPr>
              <w:t>Recent reports attesting to your company’s financial statements and health. These include:</w:t>
            </w:r>
          </w:p>
          <w:p w14:paraId="58B8CDE5" w14:textId="77777777" w:rsidR="00202DF3" w:rsidRDefault="00202DF3" w:rsidP="00202DF3">
            <w:pPr>
              <w:pStyle w:val="ListParagraph"/>
              <w:numPr>
                <w:ilvl w:val="2"/>
                <w:numId w:val="15"/>
              </w:numPr>
              <w:rPr>
                <w:lang w:eastAsia="en-GB"/>
              </w:rPr>
            </w:pPr>
            <w:r>
              <w:rPr>
                <w:lang w:eastAsia="en-GB"/>
              </w:rPr>
              <w:t>Balance sheet</w:t>
            </w:r>
          </w:p>
          <w:p w14:paraId="44BFB796" w14:textId="77777777" w:rsidR="00202DF3" w:rsidRDefault="00202DF3" w:rsidP="00202DF3">
            <w:pPr>
              <w:pStyle w:val="ListParagraph"/>
              <w:numPr>
                <w:ilvl w:val="2"/>
                <w:numId w:val="15"/>
              </w:numPr>
              <w:rPr>
                <w:lang w:eastAsia="en-GB"/>
              </w:rPr>
            </w:pPr>
            <w:r>
              <w:rPr>
                <w:lang w:eastAsia="en-GB"/>
              </w:rPr>
              <w:t>Income statement</w:t>
            </w:r>
          </w:p>
          <w:p w14:paraId="09F2D6D4" w14:textId="77777777" w:rsidR="00202DF3" w:rsidRDefault="00202DF3" w:rsidP="00202DF3">
            <w:pPr>
              <w:pStyle w:val="ListParagraph"/>
              <w:numPr>
                <w:ilvl w:val="2"/>
                <w:numId w:val="15"/>
              </w:numPr>
              <w:rPr>
                <w:lang w:eastAsia="en-GB"/>
              </w:rPr>
            </w:pPr>
            <w:r>
              <w:rPr>
                <w:lang w:eastAsia="en-GB"/>
              </w:rPr>
              <w:t>Statement of cashflows</w:t>
            </w:r>
          </w:p>
          <w:p w14:paraId="4428349E" w14:textId="77777777" w:rsidR="00202DF3" w:rsidRPr="004F35A0" w:rsidRDefault="00202DF3" w:rsidP="00202DF3">
            <w:pPr>
              <w:pStyle w:val="ListParagraph"/>
              <w:numPr>
                <w:ilvl w:val="2"/>
                <w:numId w:val="15"/>
              </w:numPr>
              <w:rPr>
                <w:lang w:eastAsia="en-GB"/>
              </w:rPr>
            </w:pPr>
            <w:r>
              <w:rPr>
                <w:lang w:eastAsia="en-GB"/>
              </w:rPr>
              <w:t>Statement of shareholders’ equity (i.e., CAP table)</w:t>
            </w:r>
          </w:p>
          <w:p w14:paraId="020B66C3" w14:textId="77651903" w:rsidR="00CF6C40" w:rsidRPr="004F35A0" w:rsidRDefault="5A7E2592" w:rsidP="0032609B">
            <w:pPr>
              <w:pStyle w:val="ListParagraph"/>
              <w:numPr>
                <w:ilvl w:val="0"/>
                <w:numId w:val="15"/>
              </w:numPr>
              <w:rPr>
                <w:rFonts w:ascii="Calibri" w:eastAsia="Calibri" w:hAnsi="Calibri" w:cs="Calibri"/>
                <w:color w:val="000000" w:themeColor="text1"/>
              </w:rPr>
            </w:pPr>
            <w:r w:rsidRPr="586DA79C">
              <w:rPr>
                <w:rFonts w:ascii="Calibri" w:eastAsia="Calibri" w:hAnsi="Calibri" w:cs="Calibri"/>
                <w:color w:val="000000" w:themeColor="text1"/>
              </w:rPr>
              <w:t>Be submitted on time via</w:t>
            </w:r>
            <w:r w:rsidR="6BD7089D" w:rsidRPr="586DA79C">
              <w:rPr>
                <w:rFonts w:ascii="Calibri" w:eastAsia="Calibri" w:hAnsi="Calibri" w:cs="Calibri"/>
                <w:color w:val="000000" w:themeColor="text1"/>
              </w:rPr>
              <w:t xml:space="preserve"> the submission platform</w:t>
            </w:r>
            <w:r w:rsidR="4321A8A7" w:rsidRPr="586DA79C">
              <w:rPr>
                <w:rFonts w:ascii="Calibri" w:eastAsia="Calibri" w:hAnsi="Calibri" w:cs="Calibri"/>
                <w:color w:val="000000" w:themeColor="text1"/>
              </w:rPr>
              <w:t>.</w:t>
            </w:r>
          </w:p>
          <w:p w14:paraId="21F28686" w14:textId="7FAEE0B3" w:rsidR="00CF6C40" w:rsidRPr="004F35A0" w:rsidRDefault="6BD7089D" w:rsidP="0032609B">
            <w:pPr>
              <w:pStyle w:val="ListParagraph"/>
              <w:numPr>
                <w:ilvl w:val="0"/>
                <w:numId w:val="15"/>
              </w:numPr>
              <w:rPr>
                <w:rFonts w:ascii="Calibri" w:eastAsia="Calibri" w:hAnsi="Calibri" w:cs="Calibri"/>
                <w:color w:val="000000" w:themeColor="text1"/>
              </w:rPr>
            </w:pPr>
            <w:r w:rsidRPr="586DA79C">
              <w:rPr>
                <w:rFonts w:ascii="Calibri" w:eastAsia="Calibri" w:hAnsi="Calibri" w:cs="Calibri"/>
                <w:color w:val="000000" w:themeColor="text1"/>
              </w:rPr>
              <w:t xml:space="preserve">Be </w:t>
            </w:r>
            <w:r w:rsidR="04B6341C" w:rsidRPr="586DA79C">
              <w:rPr>
                <w:rFonts w:ascii="Calibri" w:eastAsia="Calibri" w:hAnsi="Calibri" w:cs="Calibri"/>
                <w:color w:val="000000" w:themeColor="text1"/>
              </w:rPr>
              <w:t xml:space="preserve">fully </w:t>
            </w:r>
            <w:r w:rsidRPr="586DA79C">
              <w:rPr>
                <w:rFonts w:ascii="Calibri" w:eastAsia="Calibri" w:hAnsi="Calibri" w:cs="Calibri"/>
                <w:color w:val="000000" w:themeColor="text1"/>
              </w:rPr>
              <w:t>written in</w:t>
            </w:r>
            <w:r w:rsidR="5A7E2592" w:rsidRPr="586DA79C">
              <w:rPr>
                <w:rFonts w:ascii="Calibri" w:eastAsia="Calibri" w:hAnsi="Calibri" w:cs="Calibri"/>
                <w:color w:val="000000" w:themeColor="text1"/>
              </w:rPr>
              <w:t xml:space="preserve"> English. </w:t>
            </w:r>
          </w:p>
        </w:tc>
      </w:tr>
    </w:tbl>
    <w:p w14:paraId="26E5AC52" w14:textId="7153A482" w:rsidR="23421A4C" w:rsidRDefault="23421A4C" w:rsidP="23421A4C"/>
    <w:p w14:paraId="5579F885" w14:textId="77777777" w:rsidR="00E74BB7" w:rsidRDefault="00E74BB7" w:rsidP="23421A4C"/>
    <w:p w14:paraId="084D04C1" w14:textId="77777777" w:rsidR="00E74BB7" w:rsidRDefault="00E74BB7" w:rsidP="23421A4C"/>
    <w:p w14:paraId="02AD2084" w14:textId="77777777" w:rsidR="00E74BB7" w:rsidRDefault="00E74BB7" w:rsidP="23421A4C"/>
    <w:p w14:paraId="1183AA9B" w14:textId="77777777" w:rsidR="00E74BB7" w:rsidRDefault="00E74BB7" w:rsidP="23421A4C"/>
    <w:p w14:paraId="185F5726" w14:textId="77777777" w:rsidR="00E74BB7" w:rsidRDefault="00E74BB7" w:rsidP="23421A4C"/>
    <w:p w14:paraId="1E1F2D33" w14:textId="77777777" w:rsidR="00E74BB7" w:rsidRDefault="00E74BB7" w:rsidP="23421A4C"/>
    <w:p w14:paraId="3708A472" w14:textId="77777777" w:rsidR="00E74BB7" w:rsidRDefault="00E74BB7" w:rsidP="23421A4C"/>
    <w:p w14:paraId="78E1D03B" w14:textId="2D15C3E3" w:rsidR="00545D2E" w:rsidRDefault="00545D2E" w:rsidP="23421A4C">
      <w:r>
        <w:t xml:space="preserve">An applicant will be deemed ineligible if they </w:t>
      </w:r>
      <w:r w:rsidR="00202DF3">
        <w:t xml:space="preserve">have received EU funding and/or </w:t>
      </w:r>
      <w:r>
        <w:t>are a beneficiary in an EIT Food funded project in 2024, conducting similar testing or marketing activities for the similar technological solution in a similar geographical market with the same legal entities involved</w:t>
      </w:r>
      <w:r w:rsidR="009A4251">
        <w:t>, ensuring that there is no double charging of costs</w:t>
      </w:r>
      <w:r>
        <w:t>.</w:t>
      </w:r>
      <w:r w:rsidR="00C1305B">
        <w:t xml:space="preserve"> </w:t>
      </w:r>
    </w:p>
    <w:p w14:paraId="6529F25C" w14:textId="2667BDF4" w:rsidR="000A4156" w:rsidRDefault="000A4156" w:rsidP="00545D2E">
      <w:r w:rsidRPr="000A4156">
        <w:rPr>
          <w:u w:val="single"/>
        </w:rPr>
        <w:t>*</w:t>
      </w:r>
      <w:r w:rsidRPr="000A4156">
        <w:rPr>
          <w:b/>
          <w:bCs/>
          <w:u w:val="single"/>
        </w:rPr>
        <w:t xml:space="preserve"> EIT Food reserves the right to undertake financial due diligence on any applicant and the outcomes of this this may result in a range of options from amended pre-financing or grant distribution to rejection of an applicant if deemed too high risk.</w:t>
      </w:r>
      <w:r w:rsidRPr="000A4156">
        <w:t> </w:t>
      </w:r>
    </w:p>
    <w:p w14:paraId="71D6C3A8" w14:textId="381362A9" w:rsidR="008C5090" w:rsidRDefault="141BC947" w:rsidP="00545D2E">
      <w:r>
        <w:t>Please note, you are not required to be an EIT Food partner to submit a proposal, or to receive funding under</w:t>
      </w:r>
      <w:r w:rsidR="198E7208">
        <w:t xml:space="preserve"> </w:t>
      </w:r>
      <w:r>
        <w:t>this call.</w:t>
      </w:r>
    </w:p>
    <w:p w14:paraId="56736A3B" w14:textId="6AD1C798" w:rsidR="00C7772A" w:rsidRDefault="6CAE4FCE" w:rsidP="2EBBAFFF">
      <w:pPr>
        <w:pStyle w:val="Heading1"/>
      </w:pPr>
      <w:bookmarkStart w:id="12" w:name="_Toc1796600666"/>
      <w:r>
        <w:t xml:space="preserve">6. </w:t>
      </w:r>
      <w:r w:rsidR="678E69E4">
        <w:t>Funding</w:t>
      </w:r>
      <w:bookmarkEnd w:id="12"/>
    </w:p>
    <w:p w14:paraId="28A917A0" w14:textId="1320E0E0" w:rsidR="005A07A0" w:rsidRPr="004F35A0" w:rsidRDefault="0A789793" w:rsidP="586DA79C">
      <w:pPr>
        <w:rPr>
          <w:rFonts w:eastAsiaTheme="minorEastAsia"/>
        </w:rPr>
      </w:pPr>
      <w:r>
        <w:t xml:space="preserve">The total budget for this call is </w:t>
      </w:r>
      <w:r w:rsidRPr="586DA79C">
        <w:rPr>
          <w:b/>
          <w:bCs/>
        </w:rPr>
        <w:t>€2.000.000</w:t>
      </w:r>
      <w:r>
        <w:t>. Implementing participant recipients will receive a subgrant to fund their costs.</w:t>
      </w:r>
    </w:p>
    <w:p w14:paraId="555D3004" w14:textId="46837A64" w:rsidR="005A07A0" w:rsidRPr="004F35A0" w:rsidRDefault="002B00A3" w:rsidP="586DA79C">
      <w:pPr>
        <w:pStyle w:val="ListParagraph"/>
        <w:numPr>
          <w:ilvl w:val="0"/>
          <w:numId w:val="25"/>
        </w:numPr>
        <w:rPr>
          <w:rFonts w:eastAsiaTheme="minorEastAsia"/>
        </w:rPr>
      </w:pPr>
      <w:r>
        <w:rPr>
          <w:rFonts w:eastAsiaTheme="minorEastAsia"/>
        </w:rPr>
        <w:t xml:space="preserve">The project can </w:t>
      </w:r>
      <w:r w:rsidR="00A7122F">
        <w:rPr>
          <w:rFonts w:eastAsiaTheme="minorEastAsia"/>
        </w:rPr>
        <w:t xml:space="preserve">start </w:t>
      </w:r>
      <w:r w:rsidR="00A7122F" w:rsidRPr="586DA79C">
        <w:rPr>
          <w:rFonts w:eastAsiaTheme="minorEastAsia"/>
        </w:rPr>
        <w:t>from</w:t>
      </w:r>
      <w:r w:rsidR="5FC7AAC5" w:rsidRPr="586DA79C">
        <w:rPr>
          <w:rFonts w:eastAsiaTheme="minorEastAsia"/>
        </w:rPr>
        <w:t xml:space="preserve"> January 2025 </w:t>
      </w:r>
      <w:r>
        <w:rPr>
          <w:rFonts w:eastAsiaTheme="minorEastAsia"/>
        </w:rPr>
        <w:t xml:space="preserve">and last </w:t>
      </w:r>
      <w:r w:rsidR="5FC7AAC5" w:rsidRPr="586DA79C">
        <w:rPr>
          <w:rFonts w:eastAsiaTheme="minorEastAsia"/>
        </w:rPr>
        <w:t>up to a maximum of 12 months of funding from the start date.</w:t>
      </w:r>
    </w:p>
    <w:p w14:paraId="7DEA818D" w14:textId="09779459" w:rsidR="00BA20FD" w:rsidRPr="00BD7EA0" w:rsidRDefault="5A11BC66" w:rsidP="586DA79C">
      <w:pPr>
        <w:pStyle w:val="ListParagraph"/>
        <w:numPr>
          <w:ilvl w:val="0"/>
          <w:numId w:val="25"/>
        </w:numPr>
        <w:rPr>
          <w:rFonts w:eastAsiaTheme="minorEastAsia"/>
        </w:rPr>
      </w:pPr>
      <w:r w:rsidRPr="586DA79C">
        <w:rPr>
          <w:rFonts w:eastAsiaTheme="minorEastAsia"/>
        </w:rPr>
        <w:t xml:space="preserve">Each </w:t>
      </w:r>
      <w:r w:rsidR="05F91F98" w:rsidRPr="586DA79C">
        <w:rPr>
          <w:rFonts w:eastAsiaTheme="minorEastAsia"/>
        </w:rPr>
        <w:t>participant</w:t>
      </w:r>
      <w:r w:rsidRPr="586DA79C">
        <w:rPr>
          <w:rFonts w:eastAsiaTheme="minorEastAsia"/>
        </w:rPr>
        <w:t xml:space="preserve"> will be able to </w:t>
      </w:r>
      <w:r w:rsidR="002B00A3">
        <w:rPr>
          <w:rFonts w:eastAsiaTheme="minorEastAsia"/>
        </w:rPr>
        <w:t xml:space="preserve">receive a </w:t>
      </w:r>
      <w:r w:rsidRPr="586DA79C">
        <w:rPr>
          <w:rFonts w:eastAsiaTheme="minorEastAsia"/>
        </w:rPr>
        <w:t>reimburse</w:t>
      </w:r>
      <w:r w:rsidR="002B00A3">
        <w:rPr>
          <w:rFonts w:eastAsiaTheme="minorEastAsia"/>
        </w:rPr>
        <w:t>ment of</w:t>
      </w:r>
      <w:r w:rsidRPr="586DA79C">
        <w:rPr>
          <w:rFonts w:eastAsiaTheme="minorEastAsia"/>
        </w:rPr>
        <w:t xml:space="preserve"> up to 70% of eligible project costs, up to a maximum of €250.000.</w:t>
      </w:r>
      <w:r w:rsidR="4A761C1A" w:rsidRPr="586DA79C">
        <w:rPr>
          <w:rFonts w:eastAsiaTheme="minorEastAsia"/>
        </w:rPr>
        <w:t xml:space="preserve"> </w:t>
      </w:r>
      <w:r w:rsidR="08B4735E" w:rsidRPr="586DA79C">
        <w:rPr>
          <w:rFonts w:eastAsiaTheme="minorEastAsia"/>
        </w:rPr>
        <w:t>The remaining 30%</w:t>
      </w:r>
      <w:r w:rsidR="52886C59" w:rsidRPr="586DA79C">
        <w:rPr>
          <w:rFonts w:eastAsiaTheme="minorEastAsia"/>
        </w:rPr>
        <w:t xml:space="preserve"> of project costs</w:t>
      </w:r>
      <w:r w:rsidR="08B4735E" w:rsidRPr="586DA79C">
        <w:rPr>
          <w:rFonts w:eastAsiaTheme="minorEastAsia"/>
        </w:rPr>
        <w:t xml:space="preserve"> will be considered as a co-funding.</w:t>
      </w:r>
      <w:r w:rsidR="002B00A3">
        <w:rPr>
          <w:rFonts w:eastAsiaTheme="minorEastAsia"/>
        </w:rPr>
        <w:t xml:space="preserve"> The</w:t>
      </w:r>
      <w:r w:rsidR="1F7CBCD2" w:rsidRPr="586DA79C">
        <w:rPr>
          <w:rFonts w:eastAsiaTheme="minorEastAsia"/>
        </w:rPr>
        <w:t xml:space="preserve"> </w:t>
      </w:r>
      <w:r w:rsidR="002B00A3">
        <w:rPr>
          <w:rFonts w:eastAsiaTheme="minorEastAsia"/>
        </w:rPr>
        <w:t>t</w:t>
      </w:r>
      <w:r w:rsidR="5E9B2093" w:rsidRPr="586DA79C">
        <w:rPr>
          <w:rFonts w:eastAsiaTheme="minorEastAsia"/>
        </w:rPr>
        <w:t xml:space="preserve">otal eligible costs </w:t>
      </w:r>
      <w:r w:rsidR="00A7122F" w:rsidRPr="586DA79C">
        <w:rPr>
          <w:rFonts w:eastAsiaTheme="minorEastAsia"/>
        </w:rPr>
        <w:t>cannot</w:t>
      </w:r>
      <w:r w:rsidR="5E9B2093" w:rsidRPr="586DA79C">
        <w:rPr>
          <w:rFonts w:eastAsiaTheme="minorEastAsia"/>
        </w:rPr>
        <w:t xml:space="preserve"> be funded by other EU Funding, hence,</w:t>
      </w:r>
      <w:r w:rsidR="08B4735E" w:rsidRPr="586DA79C">
        <w:rPr>
          <w:rFonts w:eastAsiaTheme="minorEastAsia"/>
        </w:rPr>
        <w:t xml:space="preserve"> </w:t>
      </w:r>
      <w:r w:rsidR="002B00A3">
        <w:rPr>
          <w:rFonts w:eastAsiaTheme="minorEastAsia"/>
        </w:rPr>
        <w:t xml:space="preserve">any </w:t>
      </w:r>
      <w:r w:rsidR="185FA905" w:rsidRPr="586DA79C">
        <w:rPr>
          <w:rFonts w:eastAsiaTheme="minorEastAsia"/>
        </w:rPr>
        <w:t>o</w:t>
      </w:r>
      <w:r w:rsidR="4A761C1A" w:rsidRPr="586DA79C">
        <w:rPr>
          <w:rFonts w:eastAsiaTheme="minorEastAsia"/>
        </w:rPr>
        <w:t>ther EU funding is not an eligible source of co-funding under this scheme.</w:t>
      </w:r>
    </w:p>
    <w:p w14:paraId="1142BEF0" w14:textId="4DB4BBAE" w:rsidR="005A07A0" w:rsidRDefault="5EA4ADF0" w:rsidP="005A07A0">
      <w:pPr>
        <w:rPr>
          <w:rFonts w:ascii="Calibri" w:eastAsia="Calibri" w:hAnsi="Calibri" w:cs="Calibri"/>
        </w:rPr>
      </w:pPr>
      <w:r w:rsidRPr="586DA79C">
        <w:rPr>
          <w:rFonts w:ascii="Calibri" w:eastAsia="Calibri" w:hAnsi="Calibri" w:cs="Calibri"/>
          <w:color w:val="000000" w:themeColor="text1"/>
        </w:rPr>
        <w:t xml:space="preserve">There is a 6 million EUR limit per participants from Member States of the European Union (EU) and from </w:t>
      </w:r>
      <w:hyperlink r:id="rId30" w:anchor="asset:245707@3">
        <w:r w:rsidRPr="586DA79C">
          <w:rPr>
            <w:rStyle w:val="Hyperlink"/>
            <w:rFonts w:ascii="Calibri" w:eastAsia="Calibri" w:hAnsi="Calibri" w:cs="Calibri"/>
          </w:rPr>
          <w:t>Horizon Europe Associate Countries</w:t>
        </w:r>
      </w:hyperlink>
      <w:r w:rsidRPr="586DA79C">
        <w:rPr>
          <w:rFonts w:ascii="Calibri" w:eastAsia="Calibri" w:hAnsi="Calibri" w:cs="Calibri"/>
          <w:color w:val="000000" w:themeColor="text1"/>
        </w:rPr>
        <w:t xml:space="preserve"> for the </w:t>
      </w:r>
      <w:r w:rsidR="488A043F" w:rsidRPr="586DA79C">
        <w:rPr>
          <w:rFonts w:ascii="Calibri" w:eastAsia="Calibri" w:hAnsi="Calibri" w:cs="Calibri"/>
          <w:color w:val="000000" w:themeColor="text1"/>
        </w:rPr>
        <w:t xml:space="preserve">whole </w:t>
      </w:r>
      <w:r w:rsidRPr="586DA79C">
        <w:rPr>
          <w:rFonts w:ascii="Calibri" w:eastAsia="Calibri" w:hAnsi="Calibri" w:cs="Calibri"/>
          <w:color w:val="000000" w:themeColor="text1"/>
        </w:rPr>
        <w:t xml:space="preserve">3-year </w:t>
      </w:r>
      <w:r w:rsidR="649F5ED1" w:rsidRPr="586DA79C">
        <w:rPr>
          <w:rFonts w:ascii="Calibri" w:eastAsia="Calibri" w:hAnsi="Calibri" w:cs="Calibri"/>
          <w:color w:val="000000" w:themeColor="text1"/>
        </w:rPr>
        <w:t>Grant Agreement</w:t>
      </w:r>
      <w:r w:rsidRPr="586DA79C">
        <w:rPr>
          <w:rFonts w:ascii="Calibri" w:eastAsia="Calibri" w:hAnsi="Calibri" w:cs="Calibri"/>
          <w:color w:val="000000" w:themeColor="text1"/>
        </w:rPr>
        <w:t>. Legal entities from non- Horizon Europe Associate countries can participate in consortia but are limited to funding of 60 000 over 3 years</w:t>
      </w:r>
      <w:r w:rsidR="649F5ED1" w:rsidRPr="586DA79C">
        <w:rPr>
          <w:rFonts w:ascii="Calibri" w:eastAsia="Calibri" w:hAnsi="Calibri" w:cs="Calibri"/>
          <w:color w:val="000000" w:themeColor="text1"/>
        </w:rPr>
        <w:t xml:space="preserve"> for a Grant Agreement</w:t>
      </w:r>
      <w:r w:rsidRPr="586DA79C">
        <w:rPr>
          <w:rFonts w:ascii="Calibri" w:eastAsia="Calibri" w:hAnsi="Calibri" w:cs="Calibri"/>
          <w:color w:val="000000" w:themeColor="text1"/>
        </w:rPr>
        <w:t xml:space="preserve">. This </w:t>
      </w:r>
      <w:r w:rsidR="02314DE4" w:rsidRPr="586DA79C">
        <w:rPr>
          <w:rFonts w:ascii="Calibri" w:eastAsia="Calibri" w:hAnsi="Calibri" w:cs="Calibri"/>
          <w:color w:val="000000" w:themeColor="text1"/>
        </w:rPr>
        <w:t>funding</w:t>
      </w:r>
      <w:r w:rsidRPr="586DA79C">
        <w:rPr>
          <w:rFonts w:ascii="Calibri" w:eastAsia="Calibri" w:hAnsi="Calibri" w:cs="Calibri"/>
          <w:color w:val="000000" w:themeColor="text1"/>
        </w:rPr>
        <w:t xml:space="preserve"> is implemented under GA 01101912</w:t>
      </w:r>
      <w:r w:rsidR="488A043F" w:rsidRPr="586DA79C">
        <w:rPr>
          <w:rFonts w:ascii="Calibri" w:eastAsia="Calibri" w:hAnsi="Calibri" w:cs="Calibri"/>
          <w:color w:val="000000" w:themeColor="text1"/>
        </w:rPr>
        <w:t>. In those limits are included all the EIT Funding awarded to an organization across all the activities and prizes for the 3-year grant agreement.</w:t>
      </w:r>
    </w:p>
    <w:p w14:paraId="48A3B7DB" w14:textId="14B64462" w:rsidR="005A07A0" w:rsidRDefault="757CCD12" w:rsidP="005A07A0">
      <w:pPr>
        <w:rPr>
          <w:rFonts w:ascii="Calibri" w:eastAsia="Calibri" w:hAnsi="Calibri" w:cs="Calibri"/>
          <w:color w:val="000000" w:themeColor="text1"/>
        </w:rPr>
      </w:pPr>
      <w:r>
        <w:t xml:space="preserve">The Subgrant is based on actual costs and value for money.  </w:t>
      </w:r>
      <w:r w:rsidRPr="2C812A0E">
        <w:rPr>
          <w:rFonts w:ascii="Calibri" w:eastAsia="Calibri" w:hAnsi="Calibri" w:cs="Calibri"/>
          <w:color w:val="000000" w:themeColor="text1"/>
        </w:rPr>
        <w:t>All costs</w:t>
      </w:r>
      <w:r w:rsidR="6FDF11F4" w:rsidRPr="2C812A0E">
        <w:rPr>
          <w:rFonts w:ascii="Calibri" w:eastAsia="Calibri" w:hAnsi="Calibri" w:cs="Calibri"/>
          <w:color w:val="000000" w:themeColor="text1"/>
        </w:rPr>
        <w:t>, including co-funding,</w:t>
      </w:r>
      <w:r w:rsidRPr="2C812A0E">
        <w:rPr>
          <w:rFonts w:ascii="Calibri" w:eastAsia="Calibri" w:hAnsi="Calibri" w:cs="Calibri"/>
          <w:color w:val="000000" w:themeColor="text1"/>
        </w:rPr>
        <w:t xml:space="preserve"> need to comply with Horizon Europe regulations regarding the eligibility of expenses. Please refer to Article 6 of the </w:t>
      </w:r>
      <w:hyperlink r:id="rId31">
        <w:r w:rsidRPr="2C812A0E">
          <w:rPr>
            <w:rStyle w:val="Hyperlink"/>
            <w:rFonts w:ascii="Calibri" w:eastAsia="Calibri" w:hAnsi="Calibri" w:cs="Calibri"/>
          </w:rPr>
          <w:t>Model Grant Agreement</w:t>
        </w:r>
      </w:hyperlink>
      <w:r w:rsidRPr="2C812A0E">
        <w:rPr>
          <w:rFonts w:ascii="Calibri" w:eastAsia="Calibri" w:hAnsi="Calibri" w:cs="Calibri"/>
          <w:color w:val="000000" w:themeColor="text1"/>
        </w:rPr>
        <w:t xml:space="preserve"> and the </w:t>
      </w:r>
      <w:hyperlink r:id="rId32">
        <w:r w:rsidRPr="2C812A0E">
          <w:rPr>
            <w:rStyle w:val="Hyperlink"/>
            <w:rFonts w:ascii="Calibri" w:eastAsia="Calibri" w:hAnsi="Calibri" w:cs="Calibri"/>
          </w:rPr>
          <w:t>Annotated Model Grant Agreement</w:t>
        </w:r>
      </w:hyperlink>
      <w:r w:rsidRPr="2C812A0E">
        <w:rPr>
          <w:rFonts w:ascii="Calibri" w:eastAsia="Calibri" w:hAnsi="Calibri" w:cs="Calibri"/>
          <w:color w:val="000000" w:themeColor="text1"/>
        </w:rPr>
        <w:t>.</w:t>
      </w:r>
      <w:r w:rsidR="61EC5A06" w:rsidRPr="2C812A0E">
        <w:rPr>
          <w:rFonts w:ascii="Calibri" w:eastAsia="Calibri" w:hAnsi="Calibri" w:cs="Calibri"/>
          <w:color w:val="000000" w:themeColor="text1"/>
        </w:rPr>
        <w:t xml:space="preserve"> </w:t>
      </w:r>
    </w:p>
    <w:p w14:paraId="6DC3C15C" w14:textId="22CD099D" w:rsidR="00BA3F80" w:rsidRPr="00BA3F80" w:rsidRDefault="00BA3F80" w:rsidP="00BA3F80">
      <w:pPr>
        <w:rPr>
          <w:rFonts w:ascii="Calibri" w:eastAsia="Calibri" w:hAnsi="Calibri" w:cs="Calibri"/>
          <w:color w:val="000000" w:themeColor="text1"/>
        </w:rPr>
      </w:pPr>
      <w:r w:rsidRPr="00BA3F80">
        <w:rPr>
          <w:rFonts w:ascii="Calibri" w:eastAsia="Calibri" w:hAnsi="Calibri" w:cs="Calibri"/>
          <w:color w:val="000000" w:themeColor="text1"/>
        </w:rPr>
        <w:t>In addition to the guidance provided by Horizon Europe, the proposals must comply with the</w:t>
      </w:r>
      <w:r>
        <w:rPr>
          <w:rFonts w:ascii="Calibri" w:eastAsia="Calibri" w:hAnsi="Calibri" w:cs="Calibri"/>
          <w:color w:val="000000" w:themeColor="text1"/>
        </w:rPr>
        <w:t xml:space="preserve"> </w:t>
      </w:r>
      <w:r w:rsidRPr="00BA3F80">
        <w:rPr>
          <w:rFonts w:ascii="Calibri" w:eastAsia="Calibri" w:hAnsi="Calibri" w:cs="Calibri"/>
          <w:color w:val="000000" w:themeColor="text1"/>
        </w:rPr>
        <w:t>following maximum thresholds:</w:t>
      </w:r>
    </w:p>
    <w:p w14:paraId="2C75FE19" w14:textId="451A23E1" w:rsidR="00D54DC2" w:rsidRDefault="00BA3F80" w:rsidP="00D54DC2">
      <w:pPr>
        <w:pStyle w:val="ListParagraph"/>
        <w:numPr>
          <w:ilvl w:val="0"/>
          <w:numId w:val="37"/>
        </w:numPr>
        <w:rPr>
          <w:rFonts w:ascii="Calibri" w:eastAsia="Calibri" w:hAnsi="Calibri" w:cs="Calibri"/>
          <w:color w:val="000000" w:themeColor="text1"/>
        </w:rPr>
      </w:pPr>
      <w:r w:rsidRPr="00D54DC2">
        <w:rPr>
          <w:rFonts w:ascii="Calibri" w:eastAsia="Calibri" w:hAnsi="Calibri" w:cs="Calibri"/>
          <w:color w:val="000000" w:themeColor="text1"/>
        </w:rPr>
        <w:t xml:space="preserve">Subcontracting </w:t>
      </w:r>
      <w:r w:rsidR="004743D1">
        <w:rPr>
          <w:rFonts w:ascii="Calibri" w:eastAsia="Calibri" w:hAnsi="Calibri" w:cs="Calibri"/>
          <w:color w:val="000000" w:themeColor="text1"/>
        </w:rPr>
        <w:t xml:space="preserve">should be kept at minimal and </w:t>
      </w:r>
      <w:r w:rsidR="00744155">
        <w:rPr>
          <w:rFonts w:ascii="Calibri" w:eastAsia="Calibri" w:hAnsi="Calibri" w:cs="Calibri"/>
          <w:color w:val="000000" w:themeColor="text1"/>
        </w:rPr>
        <w:t>cannot</w:t>
      </w:r>
      <w:r w:rsidR="002D1C57">
        <w:rPr>
          <w:rFonts w:ascii="Calibri" w:eastAsia="Calibri" w:hAnsi="Calibri" w:cs="Calibri"/>
          <w:color w:val="000000" w:themeColor="text1"/>
        </w:rPr>
        <w:t xml:space="preserve"> be higher than </w:t>
      </w:r>
      <w:r w:rsidR="00D54DC2">
        <w:rPr>
          <w:rFonts w:ascii="Calibri" w:eastAsia="Calibri" w:hAnsi="Calibri" w:cs="Calibri"/>
          <w:color w:val="000000" w:themeColor="text1"/>
        </w:rPr>
        <w:t>40</w:t>
      </w:r>
      <w:r w:rsidRPr="00D54DC2">
        <w:rPr>
          <w:rFonts w:ascii="Calibri" w:eastAsia="Calibri" w:hAnsi="Calibri" w:cs="Calibri"/>
          <w:color w:val="000000" w:themeColor="text1"/>
        </w:rPr>
        <w:t>% of total costs.</w:t>
      </w:r>
    </w:p>
    <w:p w14:paraId="271F2214" w14:textId="774C76CF" w:rsidR="00D54DC2" w:rsidRDefault="00BA3F80" w:rsidP="00D54DC2">
      <w:pPr>
        <w:pStyle w:val="ListParagraph"/>
        <w:numPr>
          <w:ilvl w:val="0"/>
          <w:numId w:val="37"/>
        </w:numPr>
        <w:rPr>
          <w:rFonts w:ascii="Calibri" w:eastAsia="Calibri" w:hAnsi="Calibri" w:cs="Calibri"/>
          <w:color w:val="000000" w:themeColor="text1"/>
        </w:rPr>
      </w:pPr>
      <w:r w:rsidRPr="00D54DC2">
        <w:rPr>
          <w:rFonts w:ascii="Calibri" w:eastAsia="Calibri" w:hAnsi="Calibri" w:cs="Calibri"/>
          <w:color w:val="000000" w:themeColor="text1"/>
        </w:rPr>
        <w:t xml:space="preserve">Depreciation can amount to a maximum of </w:t>
      </w:r>
      <w:r w:rsidR="00582E5B">
        <w:rPr>
          <w:rFonts w:ascii="Calibri" w:eastAsia="Calibri" w:hAnsi="Calibri" w:cs="Calibri"/>
          <w:color w:val="000000" w:themeColor="text1"/>
        </w:rPr>
        <w:t>20</w:t>
      </w:r>
      <w:r w:rsidRPr="00D54DC2">
        <w:rPr>
          <w:rFonts w:ascii="Calibri" w:eastAsia="Calibri" w:hAnsi="Calibri" w:cs="Calibri"/>
          <w:color w:val="000000" w:themeColor="text1"/>
        </w:rPr>
        <w:t>% of total costs. In case of adding additional</w:t>
      </w:r>
      <w:r w:rsidR="00D54DC2">
        <w:rPr>
          <w:rFonts w:ascii="Calibri" w:eastAsia="Calibri" w:hAnsi="Calibri" w:cs="Calibri"/>
          <w:color w:val="000000" w:themeColor="text1"/>
        </w:rPr>
        <w:t xml:space="preserve"> </w:t>
      </w:r>
      <w:r w:rsidRPr="00D54DC2">
        <w:rPr>
          <w:rFonts w:ascii="Calibri" w:eastAsia="Calibri" w:hAnsi="Calibri" w:cs="Calibri"/>
          <w:color w:val="000000" w:themeColor="text1"/>
        </w:rPr>
        <w:t>depreciation costs, please consult EIT Food in advance.</w:t>
      </w:r>
    </w:p>
    <w:p w14:paraId="56EF16EF" w14:textId="2AC53AC1" w:rsidR="00BA3F80" w:rsidRPr="00D54DC2" w:rsidRDefault="0C047921" w:rsidP="00D54DC2">
      <w:pPr>
        <w:pStyle w:val="ListParagraph"/>
        <w:numPr>
          <w:ilvl w:val="0"/>
          <w:numId w:val="37"/>
        </w:numPr>
        <w:rPr>
          <w:rFonts w:ascii="Calibri" w:eastAsia="Calibri" w:hAnsi="Calibri" w:cs="Calibri"/>
          <w:color w:val="000000" w:themeColor="text1"/>
        </w:rPr>
      </w:pPr>
      <w:r w:rsidRPr="2EBBAFFF">
        <w:rPr>
          <w:rFonts w:ascii="Calibri" w:eastAsia="Calibri" w:hAnsi="Calibri" w:cs="Calibri"/>
          <w:color w:val="000000" w:themeColor="text1"/>
        </w:rPr>
        <w:lastRenderedPageBreak/>
        <w:t>Sub-granting: Participants are not permitted</w:t>
      </w:r>
      <w:r w:rsidR="56801216" w:rsidRPr="2EBBAFFF">
        <w:rPr>
          <w:rFonts w:ascii="Calibri" w:eastAsia="Calibri" w:hAnsi="Calibri" w:cs="Calibri"/>
          <w:color w:val="000000" w:themeColor="text1"/>
        </w:rPr>
        <w:t xml:space="preserve"> </w:t>
      </w:r>
      <w:r w:rsidRPr="2EBBAFFF">
        <w:rPr>
          <w:rFonts w:ascii="Calibri" w:eastAsia="Calibri" w:hAnsi="Calibri" w:cs="Calibri"/>
          <w:color w:val="000000" w:themeColor="text1"/>
        </w:rPr>
        <w:t>to give a subgrant to another third party.</w:t>
      </w:r>
    </w:p>
    <w:p w14:paraId="61A38CEA" w14:textId="12AC46F2" w:rsidR="2EBBAFFF" w:rsidRDefault="2EBBAFFF" w:rsidP="2EBBAFFF">
      <w:pPr>
        <w:rPr>
          <w:rFonts w:ascii="Calibri" w:eastAsia="Calibri" w:hAnsi="Calibri" w:cs="Calibri"/>
          <w:color w:val="000000" w:themeColor="text1"/>
        </w:rPr>
      </w:pPr>
    </w:p>
    <w:p w14:paraId="4F3E27AD" w14:textId="75022090" w:rsidR="35CA1C2B" w:rsidRDefault="0DE80191" w:rsidP="2EBBAFFF">
      <w:pPr>
        <w:pStyle w:val="Heading2"/>
      </w:pPr>
      <w:bookmarkStart w:id="13" w:name="_Toc1193422764"/>
      <w:r>
        <w:t>6.1. Success Sharing Mechanism</w:t>
      </w:r>
      <w:bookmarkEnd w:id="13"/>
    </w:p>
    <w:p w14:paraId="798005D1" w14:textId="1EE995B3" w:rsidR="35CA1C2B" w:rsidRDefault="35CA1C2B" w:rsidP="2EBBAFFF">
      <w:pPr>
        <w:spacing w:line="257" w:lineRule="auto"/>
        <w:rPr>
          <w:rFonts w:eastAsiaTheme="minorEastAsia"/>
        </w:rPr>
      </w:pPr>
      <w:r w:rsidRPr="2EBBAFFF">
        <w:rPr>
          <w:rFonts w:eastAsiaTheme="minorEastAsia"/>
        </w:rPr>
        <w:t xml:space="preserve">In return for de-risking your commercial investment through our funding, we’ll ask you to participate in a </w:t>
      </w:r>
      <w:r w:rsidRPr="2EBBAFFF">
        <w:rPr>
          <w:rFonts w:eastAsiaTheme="minorEastAsia"/>
          <w:i/>
          <w:iCs/>
        </w:rPr>
        <w:t>Success Sharing Mechanism</w:t>
      </w:r>
      <w:r w:rsidRPr="2EBBAFFF">
        <w:rPr>
          <w:rFonts w:eastAsiaTheme="minorEastAsia"/>
        </w:rPr>
        <w:t xml:space="preserve">. This allows us to reinvest in our community to drive more systems change that will benefit us all.  </w:t>
      </w:r>
    </w:p>
    <w:p w14:paraId="28ABA1B9" w14:textId="65CFDC8E" w:rsidR="35CA1C2B" w:rsidRDefault="35CA1C2B" w:rsidP="2EBBAFFF">
      <w:pPr>
        <w:spacing w:line="257" w:lineRule="auto"/>
        <w:rPr>
          <w:rFonts w:eastAsiaTheme="minorEastAsia"/>
        </w:rPr>
      </w:pPr>
      <w:r w:rsidRPr="2EBBAFFF">
        <w:rPr>
          <w:rFonts w:eastAsiaTheme="minorEastAsia"/>
        </w:rPr>
        <w:t xml:space="preserve">For the Fast Track to Market, selected participants will commit to EIT Food’s Success Sharing Mechanism by signing a </w:t>
      </w:r>
      <w:r w:rsidRPr="2EBBAFFF">
        <w:rPr>
          <w:rFonts w:eastAsiaTheme="minorEastAsia"/>
          <w:b/>
          <w:bCs/>
        </w:rPr>
        <w:t>Revenue Based Finance Agreement (RBF)</w:t>
      </w:r>
      <w:r w:rsidRPr="2EBBAFFF">
        <w:rPr>
          <w:rFonts w:eastAsiaTheme="minorEastAsia"/>
        </w:rPr>
        <w:t xml:space="preserve">, which consists of reward payments based on the company’s total revenues. </w:t>
      </w:r>
      <w:r w:rsidRPr="2EBBAFFF">
        <w:rPr>
          <w:rFonts w:eastAsiaTheme="minorEastAsia"/>
          <w:b/>
          <w:bCs/>
        </w:rPr>
        <w:t>NOTE:</w:t>
      </w:r>
      <w:r w:rsidRPr="2EBBAFFF">
        <w:rPr>
          <w:rFonts w:eastAsiaTheme="minorEastAsia"/>
        </w:rPr>
        <w:t xml:space="preserve"> Reward payments are not solely related to the sales of the foreseen marketed innovation, but instead, the overall company. </w:t>
      </w:r>
    </w:p>
    <w:p w14:paraId="4357991E" w14:textId="0B29A083" w:rsidR="3FE7044D" w:rsidRDefault="35CA1C2B" w:rsidP="2EBBAFFF">
      <w:pPr>
        <w:rPr>
          <w:rFonts w:ascii="Calibri" w:eastAsia="Calibri" w:hAnsi="Calibri" w:cs="Calibri"/>
        </w:rPr>
      </w:pPr>
      <w:r w:rsidRPr="2EBBAFFF">
        <w:rPr>
          <w:rFonts w:ascii="Calibri" w:eastAsia="Calibri" w:hAnsi="Calibri" w:cs="Calibri"/>
        </w:rPr>
        <w:t xml:space="preserve">More details can be found </w:t>
      </w:r>
      <w:r w:rsidR="008F5ACE">
        <w:rPr>
          <w:rFonts w:ascii="Calibri" w:eastAsia="Calibri" w:hAnsi="Calibri" w:cs="Calibri"/>
        </w:rPr>
        <w:t>in Annex 2: Success Sharing Mechanism</w:t>
      </w:r>
    </w:p>
    <w:p w14:paraId="25751EDB" w14:textId="1F40B19F" w:rsidR="4D55F672" w:rsidRDefault="4A3841BB" w:rsidP="2EBBAFFF">
      <w:pPr>
        <w:pStyle w:val="Heading2"/>
      </w:pPr>
      <w:bookmarkStart w:id="14" w:name="_Toc278960518"/>
      <w:r>
        <w:t>6.2. Payment Schedule</w:t>
      </w:r>
      <w:bookmarkEnd w:id="14"/>
    </w:p>
    <w:p w14:paraId="16C9AC8E" w14:textId="4402FCA8" w:rsidR="00F74870" w:rsidRDefault="00183486" w:rsidP="005A07A0">
      <w:pPr>
        <w:rPr>
          <w:rFonts w:ascii="Calibri" w:eastAsia="Calibri" w:hAnsi="Calibri" w:cs="Calibri"/>
          <w:color w:val="000000" w:themeColor="text1"/>
        </w:rPr>
      </w:pPr>
      <w:r w:rsidRPr="586DA79C">
        <w:rPr>
          <w:rFonts w:ascii="Calibri" w:eastAsia="Calibri" w:hAnsi="Calibri" w:cs="Calibri"/>
          <w:color w:val="000000" w:themeColor="text1"/>
        </w:rPr>
        <w:t>Each participant</w:t>
      </w:r>
      <w:r w:rsidR="47DE50E7" w:rsidRPr="586DA79C">
        <w:rPr>
          <w:rFonts w:ascii="Calibri" w:eastAsia="Calibri" w:hAnsi="Calibri" w:cs="Calibri"/>
          <w:color w:val="000000" w:themeColor="text1"/>
        </w:rPr>
        <w:t xml:space="preserve"> will receive their allocated funding in two </w:t>
      </w:r>
      <w:r w:rsidR="1B3537E7" w:rsidRPr="586DA79C">
        <w:rPr>
          <w:rFonts w:ascii="Calibri" w:eastAsia="Calibri" w:hAnsi="Calibri" w:cs="Calibri"/>
          <w:color w:val="000000" w:themeColor="text1"/>
        </w:rPr>
        <w:t>instalment</w:t>
      </w:r>
      <w:r w:rsidR="267ED7AB" w:rsidRPr="586DA79C">
        <w:rPr>
          <w:rFonts w:ascii="Calibri" w:eastAsia="Calibri" w:hAnsi="Calibri" w:cs="Calibri"/>
          <w:color w:val="000000" w:themeColor="text1"/>
        </w:rPr>
        <w:t>s</w:t>
      </w:r>
      <w:r w:rsidR="1B3537E7" w:rsidRPr="586DA79C">
        <w:rPr>
          <w:rFonts w:ascii="Calibri" w:eastAsia="Calibri" w:hAnsi="Calibri" w:cs="Calibri"/>
          <w:color w:val="000000" w:themeColor="text1"/>
        </w:rPr>
        <w:t>: the first</w:t>
      </w:r>
      <w:r w:rsidR="5A57935F" w:rsidRPr="586DA79C">
        <w:rPr>
          <w:rFonts w:ascii="Calibri" w:eastAsia="Calibri" w:hAnsi="Calibri" w:cs="Calibri"/>
          <w:color w:val="000000" w:themeColor="text1"/>
        </w:rPr>
        <w:t xml:space="preserve"> pre-finance payment</w:t>
      </w:r>
      <w:r w:rsidR="692AE447" w:rsidRPr="586DA79C">
        <w:rPr>
          <w:rFonts w:ascii="Calibri" w:eastAsia="Calibri" w:hAnsi="Calibri" w:cs="Calibri"/>
          <w:color w:val="000000" w:themeColor="text1"/>
        </w:rPr>
        <w:t xml:space="preserve">, which comprises </w:t>
      </w:r>
      <w:r w:rsidR="6089FD57" w:rsidRPr="586DA79C">
        <w:rPr>
          <w:rFonts w:ascii="Calibri" w:eastAsia="Calibri" w:hAnsi="Calibri" w:cs="Calibri"/>
          <w:color w:val="000000" w:themeColor="text1"/>
        </w:rPr>
        <w:t>80</w:t>
      </w:r>
      <w:r w:rsidR="67A90E7E" w:rsidRPr="586DA79C">
        <w:rPr>
          <w:rFonts w:ascii="Calibri" w:eastAsia="Calibri" w:hAnsi="Calibri" w:cs="Calibri"/>
          <w:color w:val="000000" w:themeColor="text1"/>
        </w:rPr>
        <w:t xml:space="preserve">% of EIT Food’s </w:t>
      </w:r>
      <w:r w:rsidR="267ED7AB" w:rsidRPr="586DA79C">
        <w:rPr>
          <w:rFonts w:ascii="Calibri" w:eastAsia="Calibri" w:hAnsi="Calibri" w:cs="Calibri"/>
          <w:color w:val="000000" w:themeColor="text1"/>
        </w:rPr>
        <w:t xml:space="preserve">allocation of funding towards </w:t>
      </w:r>
      <w:r w:rsidR="67A90E7E" w:rsidRPr="586DA79C">
        <w:rPr>
          <w:rFonts w:ascii="Calibri" w:eastAsia="Calibri" w:hAnsi="Calibri" w:cs="Calibri"/>
          <w:color w:val="000000" w:themeColor="text1"/>
        </w:rPr>
        <w:t xml:space="preserve">eligible costs, </w:t>
      </w:r>
      <w:r w:rsidR="19E96F49" w:rsidRPr="586DA79C">
        <w:rPr>
          <w:rFonts w:ascii="Calibri" w:eastAsia="Calibri" w:hAnsi="Calibri" w:cs="Calibri"/>
          <w:color w:val="000000" w:themeColor="text1"/>
        </w:rPr>
        <w:t xml:space="preserve">is scheduled </w:t>
      </w:r>
      <w:r w:rsidR="370EC1DD" w:rsidRPr="586DA79C">
        <w:rPr>
          <w:rFonts w:ascii="Calibri" w:eastAsia="Calibri" w:hAnsi="Calibri" w:cs="Calibri"/>
          <w:color w:val="000000" w:themeColor="text1"/>
        </w:rPr>
        <w:t xml:space="preserve">within 30 days </w:t>
      </w:r>
      <w:r w:rsidR="4F68BF7A" w:rsidRPr="586DA79C">
        <w:rPr>
          <w:rFonts w:ascii="Calibri" w:eastAsia="Calibri" w:hAnsi="Calibri" w:cs="Calibri"/>
          <w:color w:val="000000" w:themeColor="text1"/>
        </w:rPr>
        <w:t xml:space="preserve">following the signature of </w:t>
      </w:r>
      <w:r w:rsidR="267ED7AB" w:rsidRPr="586DA79C">
        <w:rPr>
          <w:rFonts w:ascii="Calibri" w:eastAsia="Calibri" w:hAnsi="Calibri" w:cs="Calibri"/>
          <w:color w:val="000000" w:themeColor="text1"/>
        </w:rPr>
        <w:t xml:space="preserve">all </w:t>
      </w:r>
      <w:r w:rsidR="4F68BF7A" w:rsidRPr="586DA79C">
        <w:rPr>
          <w:rFonts w:ascii="Calibri" w:eastAsia="Calibri" w:hAnsi="Calibri" w:cs="Calibri"/>
          <w:color w:val="000000" w:themeColor="text1"/>
        </w:rPr>
        <w:t>relevant agreements</w:t>
      </w:r>
      <w:r w:rsidR="66547BA6" w:rsidRPr="586DA79C">
        <w:rPr>
          <w:rFonts w:ascii="Calibri" w:eastAsia="Calibri" w:hAnsi="Calibri" w:cs="Calibri"/>
          <w:color w:val="000000" w:themeColor="text1"/>
        </w:rPr>
        <w:t xml:space="preserve">. </w:t>
      </w:r>
      <w:r w:rsidR="23F3833C" w:rsidRPr="586DA79C">
        <w:rPr>
          <w:rFonts w:eastAsia="Times New Roman"/>
          <w:lang w:eastAsia="en-GB"/>
        </w:rPr>
        <w:t>The expenditure and progress on the project plan will be monitored periodically and reported, with a review at the end of the project period to determine if expenditures have been made in line with the cost eligibility criteria</w:t>
      </w:r>
      <w:r w:rsidR="4BCCCD3C" w:rsidRPr="586DA79C">
        <w:rPr>
          <w:rFonts w:eastAsia="Times New Roman"/>
          <w:lang w:eastAsia="en-GB"/>
        </w:rPr>
        <w:t xml:space="preserve">. </w:t>
      </w:r>
      <w:r w:rsidR="4BCCCD3C">
        <w:t xml:space="preserve">The second release (i.e., the retainer) of 20% is released upon the successful completion of the project, </w:t>
      </w:r>
      <w:r w:rsidR="4BCCCD3C" w:rsidRPr="586DA79C">
        <w:rPr>
          <w:rFonts w:ascii="Calibri" w:eastAsia="Calibri" w:hAnsi="Calibri" w:cs="Calibri"/>
          <w:color w:val="000000" w:themeColor="text1"/>
        </w:rPr>
        <w:t>marked by the delivery of set-out deliverables and milestones. This includes the marketed innovation KPI, requiring a sales transaction of at least €10.000</w:t>
      </w:r>
      <w:r w:rsidR="1CD91CA1" w:rsidRPr="586DA79C">
        <w:rPr>
          <w:rFonts w:ascii="Calibri" w:eastAsia="Calibri" w:hAnsi="Calibri" w:cs="Calibri"/>
          <w:color w:val="000000" w:themeColor="text1"/>
        </w:rPr>
        <w:t>.</w:t>
      </w:r>
    </w:p>
    <w:p w14:paraId="06B5629C" w14:textId="77777777" w:rsidR="00445992" w:rsidRPr="004F35A0" w:rsidRDefault="3E63A6E2" w:rsidP="2EBBAFFF">
      <w:pPr>
        <w:spacing w:after="0"/>
        <w:rPr>
          <w:rFonts w:ascii="Segoe UI" w:eastAsia="Segoe UI" w:hAnsi="Segoe UI" w:cs="Segoe UI"/>
          <w:color w:val="000000" w:themeColor="text1"/>
          <w:sz w:val="27"/>
          <w:szCs w:val="27"/>
        </w:rPr>
      </w:pPr>
      <w:r w:rsidRPr="2EBBAFFF">
        <w:rPr>
          <w:rFonts w:ascii="Calibri" w:eastAsia="Calibri" w:hAnsi="Calibri" w:cs="Calibri"/>
          <w:b/>
          <w:bCs/>
          <w:color w:val="242424"/>
        </w:rPr>
        <w:t>Please note:</w:t>
      </w:r>
      <w:r w:rsidRPr="2EBBAFFF">
        <w:rPr>
          <w:rFonts w:ascii="Calibri" w:eastAsia="Calibri" w:hAnsi="Calibri" w:cs="Calibri"/>
          <w:color w:val="242424"/>
        </w:rPr>
        <w:t xml:space="preserve"> the </w:t>
      </w:r>
      <w:r w:rsidRPr="2EBBAFFF">
        <w:rPr>
          <w:rFonts w:ascii="Calibri" w:eastAsia="Calibri" w:hAnsi="Calibri" w:cs="Calibri"/>
          <w:color w:val="000000" w:themeColor="text1"/>
        </w:rPr>
        <w:t xml:space="preserve">amount and timing of funding is dependent on the dispersal of funds to EIT Food from the EIT. </w:t>
      </w:r>
      <w:r w:rsidRPr="2EBBAFFF">
        <w:rPr>
          <w:rFonts w:ascii="Segoe UI" w:eastAsia="Segoe UI" w:hAnsi="Segoe UI" w:cs="Segoe UI"/>
          <w:color w:val="000000" w:themeColor="text1"/>
          <w:sz w:val="27"/>
          <w:szCs w:val="27"/>
        </w:rPr>
        <w:t xml:space="preserve"> </w:t>
      </w:r>
    </w:p>
    <w:p w14:paraId="6D3424FC" w14:textId="4770F1A0" w:rsidR="2EBBAFFF" w:rsidRDefault="2EBBAFFF" w:rsidP="2EBBAFFF">
      <w:pPr>
        <w:spacing w:after="0"/>
        <w:rPr>
          <w:rFonts w:ascii="Segoe UI" w:eastAsia="Segoe UI" w:hAnsi="Segoe UI" w:cs="Segoe UI"/>
          <w:color w:val="000000" w:themeColor="text1"/>
          <w:sz w:val="27"/>
          <w:szCs w:val="27"/>
        </w:rPr>
      </w:pPr>
    </w:p>
    <w:p w14:paraId="1894A8F0" w14:textId="45B2427A" w:rsidR="15887E47" w:rsidRDefault="7718F9BB" w:rsidP="2EBBAFFF">
      <w:pPr>
        <w:pStyle w:val="Heading2"/>
      </w:pPr>
      <w:bookmarkStart w:id="15" w:name="_Toc1482185473"/>
      <w:r>
        <w:t>6.</w:t>
      </w:r>
      <w:r w:rsidR="0D0CD69F">
        <w:t>3</w:t>
      </w:r>
      <w:r>
        <w:t>. EIT Food Legal Framework &amp; Legal Documents to be signed</w:t>
      </w:r>
      <w:bookmarkEnd w:id="15"/>
    </w:p>
    <w:p w14:paraId="41FB3E08" w14:textId="307862FC" w:rsidR="38C265F4" w:rsidRDefault="15887E47">
      <w:r w:rsidRPr="23421A4C">
        <w:rPr>
          <w:b/>
          <w:bCs/>
        </w:rPr>
        <w:t>Subgrant Agreement:</w:t>
      </w:r>
      <w:r>
        <w:t xml:space="preserve"> document that outlines the conditions of the financial support provided.</w:t>
      </w:r>
    </w:p>
    <w:p w14:paraId="3A9DA989" w14:textId="432C445B" w:rsidR="15887E47" w:rsidRDefault="7718F9BB">
      <w:r w:rsidRPr="23421A4C">
        <w:rPr>
          <w:b/>
          <w:bCs/>
        </w:rPr>
        <w:t>Revenue-based financial return agreement (RBF):</w:t>
      </w:r>
      <w:r>
        <w:t xml:space="preserve"> document that outlines the terms for the success sharing mechanism between the participant and EIT Food.</w:t>
      </w:r>
    </w:p>
    <w:p w14:paraId="5C0BC632" w14:textId="2F0C2EAF" w:rsidR="78A24CBA" w:rsidRDefault="78A24CBA">
      <w:r>
        <w:t xml:space="preserve">And any other legal documents that might be considered necessary to make the grant eligible. </w:t>
      </w:r>
    </w:p>
    <w:p w14:paraId="1E4B0EFF" w14:textId="5D1FE127" w:rsidR="00F74870" w:rsidRPr="004529F0" w:rsidRDefault="66509E86" w:rsidP="2EBBAFFF">
      <w:pPr>
        <w:pStyle w:val="Heading1"/>
      </w:pPr>
      <w:bookmarkStart w:id="16" w:name="_Toc381866597"/>
      <w:r>
        <w:t xml:space="preserve">7. </w:t>
      </w:r>
      <w:r w:rsidR="6D6F8A9F">
        <w:t>Application</w:t>
      </w:r>
      <w:bookmarkEnd w:id="16"/>
    </w:p>
    <w:p w14:paraId="755474BF" w14:textId="5B8ECE7E" w:rsidR="00C42CDA" w:rsidRDefault="00BE4DFC" w:rsidP="00C42CDA">
      <w:pPr>
        <w:rPr>
          <w:b/>
          <w:bCs/>
        </w:rPr>
      </w:pPr>
      <w:r w:rsidRPr="1D1CC546">
        <w:t xml:space="preserve">The application form must be completed </w:t>
      </w:r>
      <w:r w:rsidR="004F5459" w:rsidRPr="1D1CC546">
        <w:t xml:space="preserve">and </w:t>
      </w:r>
      <w:r w:rsidR="00856D00" w:rsidRPr="1D1CC546">
        <w:t xml:space="preserve">submitted </w:t>
      </w:r>
      <w:r w:rsidRPr="1D1CC546">
        <w:t xml:space="preserve">by the application deadline of </w:t>
      </w:r>
      <w:r w:rsidR="00112015">
        <w:rPr>
          <w:b/>
          <w:bCs/>
          <w:color w:val="FF0000"/>
        </w:rPr>
        <w:t>2</w:t>
      </w:r>
      <w:r w:rsidR="006E1175">
        <w:rPr>
          <w:b/>
          <w:bCs/>
          <w:color w:val="FF0000"/>
        </w:rPr>
        <w:t>6</w:t>
      </w:r>
      <w:r w:rsidR="00112015" w:rsidRPr="2EBBAFFF">
        <w:rPr>
          <w:b/>
          <w:bCs/>
          <w:color w:val="FF0000"/>
        </w:rPr>
        <w:t xml:space="preserve"> </w:t>
      </w:r>
      <w:r w:rsidR="00112015">
        <w:rPr>
          <w:b/>
          <w:bCs/>
          <w:color w:val="FF0000"/>
        </w:rPr>
        <w:t xml:space="preserve">November </w:t>
      </w:r>
      <w:r w:rsidR="00112015" w:rsidRPr="2EBBAFFF">
        <w:rPr>
          <w:b/>
          <w:bCs/>
          <w:color w:val="FF0000"/>
        </w:rPr>
        <w:t>2024 – 12.00 noon CET</w:t>
      </w:r>
      <w:r w:rsidRPr="1D1CC546">
        <w:t>.</w:t>
      </w:r>
      <w:r w:rsidR="00A75C59" w:rsidRPr="1D1CC546">
        <w:t xml:space="preserve"> It must be</w:t>
      </w:r>
      <w:r w:rsidR="00986599" w:rsidRPr="1D1CC546">
        <w:t xml:space="preserve"> </w:t>
      </w:r>
      <w:r w:rsidR="00CF72E8">
        <w:t>submitted via the Salesforce application portal</w:t>
      </w:r>
      <w:r w:rsidR="007E4474">
        <w:t>, which requires previous registration before submission</w:t>
      </w:r>
      <w:r w:rsidR="00CF72E8">
        <w:t>.</w:t>
      </w:r>
      <w:r w:rsidR="008407B5">
        <w:t xml:space="preserve"> </w:t>
      </w:r>
      <w:r w:rsidR="008407B5" w:rsidRPr="008407B5">
        <w:rPr>
          <w:b/>
          <w:bCs/>
        </w:rPr>
        <w:t xml:space="preserve">Please allow sufficient time </w:t>
      </w:r>
      <w:r w:rsidR="008407B5">
        <w:rPr>
          <w:b/>
          <w:bCs/>
        </w:rPr>
        <w:t xml:space="preserve">prior to submitting your application </w:t>
      </w:r>
      <w:r w:rsidR="005A5CBD">
        <w:rPr>
          <w:b/>
          <w:bCs/>
        </w:rPr>
        <w:t xml:space="preserve">to register for an EIT Food </w:t>
      </w:r>
      <w:r w:rsidR="008407B5">
        <w:rPr>
          <w:b/>
          <w:bCs/>
        </w:rPr>
        <w:t xml:space="preserve">Salesforce </w:t>
      </w:r>
      <w:r w:rsidR="005A5CBD">
        <w:rPr>
          <w:b/>
          <w:bCs/>
        </w:rPr>
        <w:t>account</w:t>
      </w:r>
      <w:r w:rsidR="008407B5">
        <w:rPr>
          <w:b/>
          <w:bCs/>
        </w:rPr>
        <w:t xml:space="preserve">. </w:t>
      </w:r>
    </w:p>
    <w:p w14:paraId="7912101F" w14:textId="549D8BB2" w:rsidR="002673E5" w:rsidRPr="002273B8" w:rsidRDefault="002673E5" w:rsidP="00C42CDA">
      <w:pPr>
        <w:rPr>
          <w:b/>
          <w:bCs/>
        </w:rPr>
      </w:pPr>
      <w:r w:rsidRPr="002273B8">
        <w:rPr>
          <w:b/>
          <w:bCs/>
          <w:sz w:val="28"/>
          <w:szCs w:val="28"/>
        </w:rPr>
        <w:t xml:space="preserve">Please find the application form linked </w:t>
      </w:r>
      <w:hyperlink r:id="rId33" w:history="1">
        <w:r w:rsidRPr="002273B8">
          <w:rPr>
            <w:rStyle w:val="Hyperlink"/>
            <w:b/>
            <w:bCs/>
            <w:sz w:val="28"/>
            <w:szCs w:val="28"/>
          </w:rPr>
          <w:t>here</w:t>
        </w:r>
      </w:hyperlink>
      <w:r w:rsidRPr="002273B8">
        <w:rPr>
          <w:b/>
          <w:bCs/>
          <w:sz w:val="28"/>
          <w:szCs w:val="28"/>
        </w:rPr>
        <w:t>.</w:t>
      </w:r>
      <w:r w:rsidRPr="002273B8">
        <w:rPr>
          <w:b/>
          <w:bCs/>
        </w:rPr>
        <w:t xml:space="preserve"> </w:t>
      </w:r>
    </w:p>
    <w:p w14:paraId="08330573" w14:textId="62FD9EAC" w:rsidR="00CF72E8" w:rsidRPr="004F35A0" w:rsidRDefault="570ED3DC" w:rsidP="2EBBAFFF">
      <w:pPr>
        <w:pStyle w:val="Heading1"/>
      </w:pPr>
      <w:bookmarkStart w:id="17" w:name="_Toc637853699"/>
      <w:r>
        <w:t xml:space="preserve">8. </w:t>
      </w:r>
      <w:r w:rsidR="11D51B2D">
        <w:t>Evaluation</w:t>
      </w:r>
      <w:r w:rsidR="66E18F5A">
        <w:t xml:space="preserve"> and Selection Process</w:t>
      </w:r>
      <w:bookmarkEnd w:id="17"/>
      <w:r w:rsidR="66E18F5A">
        <w:t xml:space="preserve"> </w:t>
      </w:r>
    </w:p>
    <w:p w14:paraId="166D7A92" w14:textId="69C6FBE1" w:rsidR="00CF72E8" w:rsidRPr="004F35A0" w:rsidRDefault="00CF72E8" w:rsidP="00CF72E8">
      <w:r>
        <w:t xml:space="preserve">All submitted applications will undergo an eligibility check and evaluation to determine their feasibility and suitability for funding. The evaluation will be conducted by a minimum of </w:t>
      </w:r>
      <w:r w:rsidRPr="00CF72E8">
        <w:t>2 external</w:t>
      </w:r>
      <w:r>
        <w:t xml:space="preserve"> evaluators and 1 internal evaluato</w:t>
      </w:r>
      <w:r w:rsidR="00C7686E">
        <w:t xml:space="preserve">r, based on the criteria below. </w:t>
      </w:r>
    </w:p>
    <w:p w14:paraId="01040371" w14:textId="3281E3C0" w:rsidR="00CF72E8" w:rsidRPr="004F35A0" w:rsidRDefault="1845FCA6" w:rsidP="2EBBAFFF">
      <w:pPr>
        <w:pStyle w:val="paragraph"/>
        <w:spacing w:before="0" w:beforeAutospacing="0" w:after="0" w:afterAutospacing="0"/>
        <w:rPr>
          <w:rFonts w:asciiTheme="minorHAnsi" w:eastAsiaTheme="minorEastAsia" w:hAnsiTheme="minorHAnsi" w:cstheme="minorBidi"/>
          <w:sz w:val="22"/>
          <w:szCs w:val="22"/>
        </w:rPr>
      </w:pPr>
      <w:r w:rsidRPr="2EBBAFFF">
        <w:rPr>
          <w:rFonts w:asciiTheme="minorHAnsi" w:eastAsiaTheme="minorEastAsia" w:hAnsiTheme="minorHAnsi" w:cstheme="minorBidi"/>
          <w:sz w:val="22"/>
          <w:szCs w:val="22"/>
        </w:rPr>
        <w:t xml:space="preserve">All evaluators have been selected in an open and transparent process. All evaluators, both internal and external, are trained extensively on the </w:t>
      </w:r>
      <w:hyperlink r:id="rId34">
        <w:r w:rsidRPr="2EBBAFFF">
          <w:rPr>
            <w:rStyle w:val="Hyperlink"/>
            <w:rFonts w:asciiTheme="minorHAnsi" w:eastAsiaTheme="minorEastAsia" w:hAnsiTheme="minorHAnsi" w:cstheme="minorBidi"/>
            <w:b/>
            <w:bCs/>
            <w:sz w:val="22"/>
            <w:szCs w:val="22"/>
          </w:rPr>
          <w:t>European Union´s Code of Conduct for Evaluators</w:t>
        </w:r>
      </w:hyperlink>
      <w:r w:rsidRPr="2EBBAFFF">
        <w:rPr>
          <w:rStyle w:val="normaltextrun"/>
          <w:rFonts w:asciiTheme="minorHAnsi" w:eastAsiaTheme="minorEastAsia" w:hAnsiTheme="minorHAnsi" w:cstheme="minorBidi"/>
          <w:color w:val="333333"/>
          <w:sz w:val="22"/>
          <w:szCs w:val="22"/>
        </w:rPr>
        <w:t>,</w:t>
      </w:r>
      <w:r w:rsidRPr="2EBBAFFF">
        <w:rPr>
          <w:rFonts w:asciiTheme="minorHAnsi" w:eastAsiaTheme="minorEastAsia" w:hAnsiTheme="minorHAnsi" w:cstheme="minorBidi"/>
          <w:sz w:val="22"/>
          <w:szCs w:val="22"/>
        </w:rPr>
        <w:t xml:space="preserve"> namely on the importance of transparency, fair treatment of all applicants, confidentiality and how to avoid conflict of interest. Evaluators must contractually agree to recuse themselves in the event of a conflict of interest.</w:t>
      </w:r>
    </w:p>
    <w:p w14:paraId="5E8BF268" w14:textId="564D3653" w:rsidR="2EBBAFFF" w:rsidRDefault="2EBBAFFF" w:rsidP="2EBBAFFF">
      <w:pPr>
        <w:pStyle w:val="paragraph"/>
        <w:spacing w:before="0" w:beforeAutospacing="0" w:after="0" w:afterAutospacing="0"/>
        <w:rPr>
          <w:rFonts w:asciiTheme="minorHAnsi" w:eastAsiaTheme="minorEastAsia" w:hAnsiTheme="minorHAnsi" w:cstheme="minorBidi"/>
          <w:sz w:val="22"/>
          <w:szCs w:val="22"/>
        </w:rPr>
      </w:pPr>
    </w:p>
    <w:p w14:paraId="7C310B2D" w14:textId="71FC0583" w:rsidR="64779A04" w:rsidRDefault="64779A04">
      <w:r>
        <w:t>The evaluation will have the following structure:</w:t>
      </w:r>
    </w:p>
    <w:p w14:paraId="3D71735E" w14:textId="70A690FD" w:rsidR="64779A04" w:rsidRDefault="64779A04">
      <w:r>
        <w:t xml:space="preserve">EIT Food will compile a preliminary ranking of all proposals that scored above the Quality Threshold of </w:t>
      </w:r>
      <w:r w:rsidRPr="00112015">
        <w:t>3.5</w:t>
      </w:r>
      <w:r>
        <w:t>. Those proposals above the threshold will be invited to a live teleconference at a specific date and time. The purpose of the panel is for the evaluators and the applicant members to meet; the applicants will pitch, followed by a Q&amp;A session for the evaluators to resolve any open questions from the evaluation. They may amend their scoring based on the answers provided by the applicants.</w:t>
      </w:r>
    </w:p>
    <w:p w14:paraId="655D3A2A" w14:textId="5B5E090B" w:rsidR="64779A04" w:rsidRDefault="64779A04" w:rsidP="2EBBAFFF">
      <w:pPr>
        <w:rPr>
          <w:b/>
          <w:bCs/>
        </w:rPr>
      </w:pPr>
      <w:r w:rsidRPr="2EBBAFFF">
        <w:rPr>
          <w:b/>
          <w:bCs/>
        </w:rPr>
        <w:t>Protocol:</w:t>
      </w:r>
    </w:p>
    <w:p w14:paraId="70C3332F" w14:textId="71685EB3" w:rsidR="64779A04" w:rsidRDefault="64779A04" w:rsidP="2EBBAFFF">
      <w:pPr>
        <w:pStyle w:val="ListParagraph"/>
        <w:numPr>
          <w:ilvl w:val="0"/>
          <w:numId w:val="20"/>
        </w:numPr>
      </w:pPr>
      <w:r>
        <w:t>Prior to the Panel Meeting, expert evaluators and internal EIT Food staff will review the selected proposals and prepare questions for the applicants.</w:t>
      </w:r>
    </w:p>
    <w:p w14:paraId="49A33824" w14:textId="7ECC8B3D" w:rsidR="64779A04" w:rsidRDefault="64779A04" w:rsidP="2C812A0E">
      <w:pPr>
        <w:pStyle w:val="ListParagraph"/>
        <w:numPr>
          <w:ilvl w:val="0"/>
          <w:numId w:val="20"/>
        </w:numPr>
      </w:pPr>
      <w:r>
        <w:t>At the Panel Meeting, each applicant will make a short introduction followed by a Q&amp;A session with the evaluators.</w:t>
      </w:r>
    </w:p>
    <w:p w14:paraId="73E22E5D" w14:textId="77777777" w:rsidR="00880976" w:rsidRPr="004F35A0" w:rsidRDefault="00880976" w:rsidP="00880976">
      <w:pPr>
        <w:spacing w:after="0" w:line="240" w:lineRule="auto"/>
        <w:rPr>
          <w:rFonts w:ascii="Calibri" w:eastAsia="Calibri" w:hAnsi="Calibri" w:cs="Calibri"/>
          <w:color w:val="000000" w:themeColor="text1"/>
        </w:rPr>
      </w:pPr>
    </w:p>
    <w:p w14:paraId="090FAE68" w14:textId="7CF39CD0" w:rsidR="00C45BBB" w:rsidRPr="004F35A0" w:rsidRDefault="00935905" w:rsidP="00880976">
      <w:pPr>
        <w:spacing w:after="0" w:line="240" w:lineRule="auto"/>
        <w:rPr>
          <w:rFonts w:ascii="Calibri" w:eastAsia="Calibri" w:hAnsi="Calibri" w:cs="Calibri"/>
          <w:color w:val="000000" w:themeColor="text1"/>
        </w:rPr>
      </w:pPr>
      <w:r w:rsidRPr="004F35A0">
        <w:rPr>
          <w:rFonts w:ascii="Calibri" w:eastAsia="Calibri" w:hAnsi="Calibri" w:cs="Calibri"/>
          <w:color w:val="000000" w:themeColor="text1"/>
        </w:rPr>
        <w:t>The following criteria and weighting will be used in the assessment:</w:t>
      </w:r>
    </w:p>
    <w:p w14:paraId="61C8F585" w14:textId="77777777" w:rsidR="00880976" w:rsidRPr="004F35A0" w:rsidRDefault="00880976" w:rsidP="00880976">
      <w:pPr>
        <w:spacing w:after="0" w:line="240" w:lineRule="auto"/>
        <w:rPr>
          <w:rFonts w:ascii="Calibri" w:eastAsia="Calibri" w:hAnsi="Calibri" w:cs="Calibri"/>
          <w:color w:val="000000" w:themeColor="text1"/>
        </w:rPr>
      </w:pPr>
    </w:p>
    <w:tbl>
      <w:tblPr>
        <w:tblW w:w="99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488"/>
        <w:gridCol w:w="1048"/>
      </w:tblGrid>
      <w:tr w:rsidR="00880976" w:rsidRPr="004F35A0" w14:paraId="61BF23D0" w14:textId="77777777" w:rsidTr="2EBBAFFF">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57FEA92" w14:textId="77777777" w:rsidR="00880976" w:rsidRPr="001B45F2" w:rsidRDefault="00880976" w:rsidP="007B299B">
            <w:pPr>
              <w:spacing w:after="0" w:line="240" w:lineRule="auto"/>
              <w:textAlignment w:val="baseline"/>
              <w:rPr>
                <w:rFonts w:ascii="Segoe UI" w:eastAsia="Times New Roman" w:hAnsi="Segoe UI" w:cs="Segoe UI"/>
                <w:b/>
                <w:bCs/>
                <w:sz w:val="18"/>
                <w:szCs w:val="18"/>
                <w:lang w:eastAsia="de-DE"/>
              </w:rPr>
            </w:pPr>
            <w:r w:rsidRPr="004F35A0">
              <w:rPr>
                <w:rFonts w:ascii="Calibri" w:eastAsia="Times New Roman" w:hAnsi="Calibri" w:cs="Calibri"/>
                <w:b/>
                <w:bCs/>
                <w:lang w:eastAsia="de-DE"/>
              </w:rPr>
              <w:t>Category</w:t>
            </w:r>
            <w:r w:rsidRPr="001B45F2">
              <w:rPr>
                <w:rFonts w:ascii="Calibri" w:eastAsia="Times New Roman" w:hAnsi="Calibri" w:cs="Calibri"/>
                <w:b/>
                <w:bCs/>
                <w:lang w:eastAsia="de-DE"/>
              </w:rPr>
              <w:t>  </w:t>
            </w:r>
          </w:p>
        </w:tc>
        <w:tc>
          <w:tcPr>
            <w:tcW w:w="648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756DB86" w14:textId="77777777" w:rsidR="00880976" w:rsidRPr="001B45F2" w:rsidRDefault="00880976" w:rsidP="007B299B">
            <w:pPr>
              <w:spacing w:after="0" w:line="240" w:lineRule="auto"/>
              <w:textAlignment w:val="baseline"/>
              <w:rPr>
                <w:rFonts w:ascii="Segoe UI" w:eastAsia="Times New Roman" w:hAnsi="Segoe UI" w:cs="Segoe UI"/>
                <w:b/>
                <w:bCs/>
                <w:sz w:val="18"/>
                <w:szCs w:val="18"/>
                <w:lang w:eastAsia="de-DE"/>
              </w:rPr>
            </w:pPr>
            <w:r w:rsidRPr="004F35A0">
              <w:rPr>
                <w:rFonts w:ascii="Calibri" w:eastAsia="Times New Roman" w:hAnsi="Calibri" w:cs="Calibri"/>
                <w:b/>
                <w:bCs/>
                <w:lang w:eastAsia="de-DE"/>
              </w:rPr>
              <w:t>Description</w:t>
            </w:r>
            <w:r w:rsidRPr="001B45F2">
              <w:rPr>
                <w:rFonts w:ascii="Calibri" w:eastAsia="Times New Roman" w:hAnsi="Calibri" w:cs="Calibri"/>
                <w:b/>
                <w:bCs/>
                <w:lang w:eastAsia="de-DE"/>
              </w:rPr>
              <w:t>  </w:t>
            </w:r>
          </w:p>
        </w:tc>
        <w:tc>
          <w:tcPr>
            <w:tcW w:w="104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308083" w14:textId="1D16E369" w:rsidR="00880976" w:rsidRPr="001B45F2" w:rsidRDefault="00880976" w:rsidP="007B299B">
            <w:pPr>
              <w:spacing w:after="0" w:line="240" w:lineRule="auto"/>
              <w:textAlignment w:val="baseline"/>
              <w:rPr>
                <w:rFonts w:ascii="Segoe UI" w:eastAsia="Times New Roman" w:hAnsi="Segoe UI" w:cs="Segoe UI"/>
                <w:b/>
                <w:bCs/>
                <w:sz w:val="18"/>
                <w:szCs w:val="18"/>
                <w:lang w:eastAsia="de-DE"/>
              </w:rPr>
            </w:pPr>
            <w:r w:rsidRPr="004F35A0">
              <w:rPr>
                <w:rFonts w:ascii="Calibri" w:eastAsia="Times New Roman" w:hAnsi="Calibri" w:cs="Calibri"/>
                <w:b/>
                <w:bCs/>
                <w:lang w:eastAsia="de-DE"/>
              </w:rPr>
              <w:t>Score</w:t>
            </w:r>
            <w:r w:rsidRPr="001B45F2">
              <w:rPr>
                <w:rFonts w:ascii="Calibri" w:eastAsia="Times New Roman" w:hAnsi="Calibri" w:cs="Calibri"/>
                <w:b/>
                <w:bCs/>
                <w:lang w:eastAsia="de-DE"/>
              </w:rPr>
              <w:t>  </w:t>
            </w:r>
          </w:p>
        </w:tc>
      </w:tr>
      <w:tr w:rsidR="00037D68" w:rsidRPr="004F35A0" w14:paraId="74103089" w14:textId="77777777" w:rsidTr="2EBBAFFF">
        <w:trPr>
          <w:trHeight w:val="1413"/>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1A1F9D7" w14:textId="77777777" w:rsidR="00037D68" w:rsidRPr="004F35A0" w:rsidRDefault="00037D68" w:rsidP="00037D68">
            <w:pPr>
              <w:spacing w:after="0" w:line="240" w:lineRule="auto"/>
              <w:textAlignment w:val="baseline"/>
              <w:rPr>
                <w:rFonts w:eastAsia="Times New Roman" w:cstheme="minorHAnsi"/>
                <w:b/>
                <w:bCs/>
                <w:lang w:eastAsia="de-DE"/>
              </w:rPr>
            </w:pPr>
            <w:r w:rsidRPr="004F35A0">
              <w:rPr>
                <w:rFonts w:eastAsia="Times New Roman" w:cstheme="minorHAnsi"/>
                <w:b/>
                <w:bCs/>
                <w:lang w:eastAsia="de-DE"/>
              </w:rPr>
              <w:t>Excellence</w:t>
            </w:r>
          </w:p>
          <w:p w14:paraId="1DFA8B71" w14:textId="77777777"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lang w:eastAsia="de-DE"/>
              </w:rPr>
              <w:t> </w:t>
            </w:r>
            <w:r w:rsidRPr="001B45F2">
              <w:rPr>
                <w:rFonts w:ascii="Calibri" w:eastAsia="Times New Roman" w:hAnsi="Calibri" w:cs="Calibri"/>
                <w:lang w:eastAsia="de-DE"/>
              </w:rPr>
              <w:t> </w:t>
            </w:r>
          </w:p>
          <w:p w14:paraId="2FC43BD4" w14:textId="77777777" w:rsidR="00037D68" w:rsidRPr="001B45F2" w:rsidRDefault="00037D68" w:rsidP="00037D68">
            <w:pPr>
              <w:spacing w:after="0" w:line="240" w:lineRule="auto"/>
              <w:textAlignment w:val="baseline"/>
              <w:rPr>
                <w:rFonts w:ascii="Segoe UI" w:eastAsia="Times New Roman" w:hAnsi="Segoe UI" w:cs="Segoe UI"/>
                <w:sz w:val="18"/>
                <w:szCs w:val="18"/>
                <w:lang w:eastAsia="de-DE"/>
              </w:rPr>
            </w:pPr>
          </w:p>
          <w:p w14:paraId="1637FC53" w14:textId="77777777"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b/>
                <w:bCs/>
                <w:lang w:eastAsia="de-DE"/>
              </w:rPr>
              <w:t>30%</w:t>
            </w:r>
            <w:r w:rsidRPr="001B45F2">
              <w:rPr>
                <w:rFonts w:ascii="Calibri" w:eastAsia="Times New Roman" w:hAnsi="Calibri" w:cs="Calibri"/>
                <w:lang w:eastAsia="de-DE"/>
              </w:rPr>
              <w:t>  </w:t>
            </w:r>
          </w:p>
          <w:p w14:paraId="5DE54048" w14:textId="7CD7BA7D"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1B45F2">
              <w:rPr>
                <w:rFonts w:ascii="Calibri" w:eastAsia="Times New Roman" w:hAnsi="Calibri" w:cs="Calibri"/>
                <w:lang w:eastAsia="de-DE"/>
              </w:rPr>
              <w:t>  </w:t>
            </w:r>
          </w:p>
        </w:tc>
        <w:tc>
          <w:tcPr>
            <w:tcW w:w="6488" w:type="dxa"/>
            <w:tcBorders>
              <w:top w:val="single" w:sz="6" w:space="0" w:color="auto"/>
              <w:left w:val="single" w:sz="6" w:space="0" w:color="auto"/>
              <w:bottom w:val="single" w:sz="6" w:space="0" w:color="auto"/>
              <w:right w:val="single" w:sz="6" w:space="0" w:color="auto"/>
            </w:tcBorders>
            <w:shd w:val="clear" w:color="auto" w:fill="auto"/>
            <w:hideMark/>
          </w:tcPr>
          <w:p w14:paraId="7B1A5268" w14:textId="77777777" w:rsidR="00037D68" w:rsidRPr="004F35A0" w:rsidRDefault="00037D68" w:rsidP="00037D68">
            <w:p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Assessed for the applicant:</w:t>
            </w:r>
          </w:p>
          <w:p w14:paraId="3BD84981" w14:textId="24F10B0E" w:rsidR="00037D68" w:rsidRPr="004F35A0"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Level of alignment with EIT Food’s Missions</w:t>
            </w:r>
          </w:p>
          <w:p w14:paraId="7388BF17" w14:textId="31AECB93" w:rsidR="00037D68" w:rsidRPr="0056043E" w:rsidRDefault="00037D68" w:rsidP="00037D68">
            <w:pPr>
              <w:numPr>
                <w:ilvl w:val="0"/>
                <w:numId w:val="17"/>
              </w:numPr>
              <w:spacing w:after="0" w:line="240" w:lineRule="auto"/>
              <w:textAlignment w:val="baseline"/>
              <w:rPr>
                <w:rFonts w:ascii="Calibri" w:eastAsia="Times New Roman" w:hAnsi="Calibri" w:cs="Calibri"/>
                <w:color w:val="000000"/>
              </w:rPr>
            </w:pPr>
            <w:r w:rsidRPr="1D1CC546">
              <w:rPr>
                <w:rFonts w:ascii="Calibri" w:eastAsia="Times New Roman" w:hAnsi="Calibri" w:cs="Calibri"/>
                <w:color w:val="000000" w:themeColor="text1"/>
              </w:rPr>
              <w:t>Delivery of an unique and innovative value proposition</w:t>
            </w:r>
            <w:r w:rsidR="009A4251">
              <w:rPr>
                <w:rFonts w:ascii="Calibri" w:eastAsia="Times New Roman" w:hAnsi="Calibri" w:cs="Calibri"/>
                <w:color w:val="000000" w:themeColor="text1"/>
              </w:rPr>
              <w:t>, generating relevant and measurable impact across EIT Food’s Missions</w:t>
            </w:r>
          </w:p>
          <w:p w14:paraId="6017BE67" w14:textId="77777777" w:rsidR="00037D68" w:rsidRPr="004F35A0"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 xml:space="preserve">Ability of the Fast Track funding mechanism in accelerating the </w:t>
            </w:r>
            <w:r>
              <w:rPr>
                <w:rFonts w:ascii="Calibri" w:eastAsia="Times New Roman" w:hAnsi="Calibri" w:cs="Calibri"/>
                <w:color w:val="000000"/>
              </w:rPr>
              <w:t>applicant</w:t>
            </w:r>
            <w:r w:rsidRPr="004F35A0">
              <w:rPr>
                <w:rFonts w:ascii="Calibri" w:eastAsia="Times New Roman" w:hAnsi="Calibri" w:cs="Calibri"/>
                <w:color w:val="000000"/>
              </w:rPr>
              <w:t>’s commercial success</w:t>
            </w:r>
          </w:p>
          <w:p w14:paraId="307F2530" w14:textId="58854759" w:rsidR="00037D68" w:rsidRPr="004F35A0" w:rsidRDefault="00037D68" w:rsidP="00037D68">
            <w:pPr>
              <w:pStyle w:val="ListParagraph"/>
              <w:spacing w:after="0" w:line="240" w:lineRule="auto"/>
              <w:textAlignment w:val="baseline"/>
              <w:rPr>
                <w:rFonts w:ascii="Calibri" w:eastAsia="Times New Roman" w:hAnsi="Calibri" w:cs="Calibri"/>
                <w:lang w:eastAsia="de-DE"/>
              </w:rPr>
            </w:pP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18C26101" w14:textId="66EEBCAD"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color w:val="000000"/>
                <w:lang w:eastAsia="de-DE"/>
              </w:rPr>
              <w:t>0-5 </w:t>
            </w:r>
            <w:r w:rsidRPr="001B45F2">
              <w:rPr>
                <w:rFonts w:ascii="Calibri" w:eastAsia="Times New Roman" w:hAnsi="Calibri" w:cs="Calibri"/>
                <w:color w:val="000000"/>
                <w:lang w:eastAsia="de-DE"/>
              </w:rPr>
              <w:t>  </w:t>
            </w:r>
          </w:p>
        </w:tc>
      </w:tr>
      <w:tr w:rsidR="00037D68" w:rsidRPr="004F35A0" w14:paraId="35181F76" w14:textId="77777777" w:rsidTr="2EBBAFFF">
        <w:trPr>
          <w:trHeight w:val="885"/>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128ADCD5" w14:textId="77777777" w:rsidR="00037D68" w:rsidRPr="004F35A0"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b/>
                <w:bCs/>
                <w:i/>
                <w:iCs/>
                <w:lang w:eastAsia="de-DE"/>
              </w:rPr>
              <w:t>The Technology</w:t>
            </w:r>
            <w:r w:rsidRPr="004F35A0">
              <w:rPr>
                <w:rFonts w:ascii="Calibri" w:eastAsia="Times New Roman" w:hAnsi="Calibri" w:cs="Calibri"/>
                <w:b/>
                <w:bCs/>
                <w:lang w:eastAsia="de-DE"/>
              </w:rPr>
              <w:t> &amp; the Market potential</w:t>
            </w:r>
          </w:p>
          <w:p w14:paraId="74469B09" w14:textId="77777777"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lang w:eastAsia="de-DE"/>
              </w:rPr>
              <w:t> </w:t>
            </w:r>
            <w:r w:rsidRPr="001B45F2">
              <w:rPr>
                <w:rFonts w:ascii="Calibri" w:eastAsia="Times New Roman" w:hAnsi="Calibri" w:cs="Calibri"/>
                <w:lang w:eastAsia="de-DE"/>
              </w:rPr>
              <w:t> </w:t>
            </w:r>
          </w:p>
          <w:p w14:paraId="7ECCFB37" w14:textId="53B6A94C"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b/>
                <w:bCs/>
                <w:lang w:eastAsia="de-DE"/>
              </w:rPr>
              <w:t>30%</w:t>
            </w:r>
            <w:r w:rsidRPr="001B45F2">
              <w:rPr>
                <w:rFonts w:ascii="Calibri" w:eastAsia="Times New Roman" w:hAnsi="Calibri" w:cs="Calibri"/>
                <w:lang w:eastAsia="de-DE"/>
              </w:rPr>
              <w:t>  </w:t>
            </w:r>
          </w:p>
        </w:tc>
        <w:tc>
          <w:tcPr>
            <w:tcW w:w="6488" w:type="dxa"/>
            <w:tcBorders>
              <w:top w:val="single" w:sz="6" w:space="0" w:color="auto"/>
              <w:left w:val="single" w:sz="6" w:space="0" w:color="auto"/>
              <w:bottom w:val="single" w:sz="6" w:space="0" w:color="auto"/>
              <w:right w:val="single" w:sz="6" w:space="0" w:color="auto"/>
            </w:tcBorders>
            <w:shd w:val="clear" w:color="auto" w:fill="auto"/>
            <w:hideMark/>
          </w:tcPr>
          <w:p w14:paraId="21899A5C" w14:textId="77777777" w:rsidR="00037D68" w:rsidRPr="004F35A0" w:rsidRDefault="00037D68" w:rsidP="00037D68">
            <w:p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Assessed for the innovation in question:</w:t>
            </w:r>
          </w:p>
          <w:p w14:paraId="36F3756B" w14:textId="77777777" w:rsidR="00037D68" w:rsidRPr="004F35A0"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 xml:space="preserve">Commercial opportunity and attractiveness, including </w:t>
            </w:r>
            <w:r>
              <w:rPr>
                <w:rFonts w:ascii="Calibri" w:eastAsia="Times New Roman" w:hAnsi="Calibri" w:cs="Calibri"/>
                <w:color w:val="000000"/>
              </w:rPr>
              <w:t>market capture</w:t>
            </w:r>
          </w:p>
          <w:p w14:paraId="34EC53FA" w14:textId="77777777" w:rsidR="00037D68" w:rsidRPr="00D02A92"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 xml:space="preserve">Market entry </w:t>
            </w:r>
            <w:r>
              <w:rPr>
                <w:rFonts w:ascii="Calibri" w:eastAsia="Times New Roman" w:hAnsi="Calibri" w:cs="Calibri"/>
                <w:color w:val="000000"/>
              </w:rPr>
              <w:t>potential, including feasibility and implementation</w:t>
            </w:r>
          </w:p>
          <w:p w14:paraId="695E69F2" w14:textId="77777777" w:rsidR="00037D68" w:rsidRPr="004F35A0" w:rsidRDefault="00037D68" w:rsidP="00037D68">
            <w:pPr>
              <w:numPr>
                <w:ilvl w:val="0"/>
                <w:numId w:val="17"/>
              </w:numPr>
              <w:spacing w:after="0" w:line="240" w:lineRule="auto"/>
              <w:textAlignment w:val="baseline"/>
              <w:rPr>
                <w:rFonts w:ascii="Calibri" w:eastAsia="Times New Roman" w:hAnsi="Calibri" w:cs="Calibri"/>
                <w:color w:val="000000"/>
              </w:rPr>
            </w:pPr>
            <w:r w:rsidRPr="1D1CC546">
              <w:rPr>
                <w:rFonts w:ascii="Calibri" w:eastAsia="Times New Roman" w:hAnsi="Calibri" w:cs="Calibri"/>
                <w:color w:val="000000" w:themeColor="text1"/>
              </w:rPr>
              <w:t>Commercialisation track record, including past commercial traction (e.g., letters of intent)</w:t>
            </w:r>
          </w:p>
          <w:p w14:paraId="661357BB" w14:textId="77777777" w:rsidR="00037D68"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Strength of intellectual property rights</w:t>
            </w:r>
          </w:p>
          <w:p w14:paraId="0F199394" w14:textId="69A018FA" w:rsidR="00037D68" w:rsidRPr="004F35A0" w:rsidRDefault="008F5ACE" w:rsidP="00037D68">
            <w:pPr>
              <w:numPr>
                <w:ilvl w:val="0"/>
                <w:numId w:val="17"/>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Rigor of analysis of </w:t>
            </w:r>
            <w:r w:rsidR="00F541E4">
              <w:rPr>
                <w:rFonts w:ascii="Calibri" w:eastAsia="Times New Roman" w:hAnsi="Calibri" w:cs="Calibri"/>
                <w:color w:val="000000"/>
              </w:rPr>
              <w:t xml:space="preserve">different </w:t>
            </w:r>
            <w:r w:rsidR="00037D68" w:rsidRPr="00D02A92">
              <w:rPr>
                <w:rFonts w:ascii="Calibri" w:eastAsia="Times New Roman" w:hAnsi="Calibri" w:cs="Calibri"/>
                <w:color w:val="000000"/>
              </w:rPr>
              <w:t>diversity dimensions of the intended impact of the innovation in question, including on different social groups (e.g., age, gender)</w:t>
            </w:r>
          </w:p>
          <w:p w14:paraId="18CE6EAF" w14:textId="092AB9AD" w:rsidR="00037D68" w:rsidRPr="004F35A0" w:rsidRDefault="00037D68" w:rsidP="00037D68">
            <w:pPr>
              <w:spacing w:after="0" w:line="240" w:lineRule="auto"/>
              <w:textAlignment w:val="baseline"/>
              <w:rPr>
                <w:rFonts w:ascii="Calibri" w:eastAsia="Times New Roman" w:hAnsi="Calibri" w:cs="Calibri"/>
                <w:color w:val="000000" w:themeColor="text1"/>
                <w:lang w:eastAsia="de-DE"/>
              </w:rPr>
            </w:pP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4278F33C" w14:textId="46750495"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color w:val="000000"/>
                <w:lang w:eastAsia="de-DE"/>
              </w:rPr>
              <w:t>0-5 </w:t>
            </w:r>
            <w:r w:rsidRPr="001B45F2">
              <w:rPr>
                <w:rFonts w:ascii="Calibri" w:eastAsia="Times New Roman" w:hAnsi="Calibri" w:cs="Calibri"/>
                <w:color w:val="000000"/>
                <w:lang w:eastAsia="de-DE"/>
              </w:rPr>
              <w:t>  </w:t>
            </w:r>
          </w:p>
        </w:tc>
      </w:tr>
      <w:tr w:rsidR="00037D68" w:rsidRPr="004F35A0" w14:paraId="23E34090" w14:textId="77777777" w:rsidTr="2EBBAFFF">
        <w:trPr>
          <w:trHeight w:val="885"/>
        </w:trPr>
        <w:tc>
          <w:tcPr>
            <w:tcW w:w="2415" w:type="dxa"/>
            <w:tcBorders>
              <w:top w:val="single" w:sz="6" w:space="0" w:color="auto"/>
              <w:left w:val="single" w:sz="6" w:space="0" w:color="auto"/>
              <w:bottom w:val="single" w:sz="6" w:space="0" w:color="auto"/>
              <w:right w:val="single" w:sz="6" w:space="0" w:color="auto"/>
            </w:tcBorders>
            <w:shd w:val="clear" w:color="auto" w:fill="auto"/>
          </w:tcPr>
          <w:p w14:paraId="62E88857" w14:textId="77777777" w:rsidR="00037D68" w:rsidRPr="004F35A0" w:rsidRDefault="00037D68" w:rsidP="00037D68">
            <w:pPr>
              <w:spacing w:after="0" w:line="240" w:lineRule="auto"/>
              <w:textAlignment w:val="baseline"/>
              <w:rPr>
                <w:rFonts w:ascii="Calibri" w:eastAsia="Times New Roman" w:hAnsi="Calibri" w:cs="Calibri"/>
                <w:b/>
                <w:bCs/>
                <w:lang w:eastAsia="de-DE"/>
              </w:rPr>
            </w:pPr>
            <w:r w:rsidRPr="0AC7626F">
              <w:rPr>
                <w:rFonts w:ascii="Calibri" w:eastAsia="Times New Roman" w:hAnsi="Calibri" w:cs="Calibri"/>
                <w:b/>
                <w:bCs/>
                <w:lang w:eastAsia="de-DE"/>
              </w:rPr>
              <w:t xml:space="preserve">Company’s Financial </w:t>
            </w:r>
            <w:r>
              <w:rPr>
                <w:rFonts w:ascii="Calibri" w:eastAsia="Times New Roman" w:hAnsi="Calibri" w:cs="Calibri"/>
                <w:b/>
                <w:bCs/>
                <w:lang w:eastAsia="de-DE"/>
              </w:rPr>
              <w:t>Health</w:t>
            </w:r>
            <w:r w:rsidRPr="0AC7626F">
              <w:rPr>
                <w:rFonts w:ascii="Calibri" w:eastAsia="Times New Roman" w:hAnsi="Calibri" w:cs="Calibri"/>
                <w:b/>
                <w:bCs/>
                <w:lang w:eastAsia="de-DE"/>
              </w:rPr>
              <w:t>*</w:t>
            </w:r>
          </w:p>
          <w:p w14:paraId="124F1530" w14:textId="0DC358B6" w:rsidR="00037D68" w:rsidRPr="004F35A0" w:rsidRDefault="00037D68" w:rsidP="00037D68">
            <w:pPr>
              <w:spacing w:after="0" w:line="240" w:lineRule="auto"/>
              <w:textAlignment w:val="baseline"/>
              <w:rPr>
                <w:rFonts w:ascii="Calibri" w:eastAsia="Times New Roman" w:hAnsi="Calibri" w:cs="Calibri"/>
                <w:b/>
                <w:bCs/>
                <w:lang w:eastAsia="de-DE"/>
              </w:rPr>
            </w:pPr>
            <w:r w:rsidRPr="0AC7626F">
              <w:rPr>
                <w:rFonts w:ascii="Calibri" w:eastAsia="Times New Roman" w:hAnsi="Calibri" w:cs="Calibri"/>
                <w:b/>
                <w:bCs/>
                <w:lang w:eastAsia="de-DE"/>
              </w:rPr>
              <w:t>20%</w:t>
            </w:r>
          </w:p>
        </w:tc>
        <w:tc>
          <w:tcPr>
            <w:tcW w:w="6488" w:type="dxa"/>
            <w:tcBorders>
              <w:top w:val="single" w:sz="6" w:space="0" w:color="auto"/>
              <w:left w:val="single" w:sz="6" w:space="0" w:color="auto"/>
              <w:bottom w:val="single" w:sz="6" w:space="0" w:color="auto"/>
              <w:right w:val="single" w:sz="6" w:space="0" w:color="auto"/>
            </w:tcBorders>
            <w:shd w:val="clear" w:color="auto" w:fill="auto"/>
          </w:tcPr>
          <w:p w14:paraId="159B2A08" w14:textId="77777777" w:rsidR="00037D68" w:rsidRPr="004F35A0" w:rsidRDefault="00037D68" w:rsidP="00037D68">
            <w:p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Assessed for the applicant:</w:t>
            </w:r>
          </w:p>
          <w:p w14:paraId="7CA838B7" w14:textId="77777777" w:rsidR="00037D68" w:rsidRPr="004F35A0"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 xml:space="preserve">Continued market viability (e.g., </w:t>
            </w:r>
            <w:r>
              <w:rPr>
                <w:rFonts w:ascii="Calibri" w:eastAsia="Times New Roman" w:hAnsi="Calibri" w:cs="Calibri"/>
                <w:color w:val="000000"/>
              </w:rPr>
              <w:t xml:space="preserve">recurring </w:t>
            </w:r>
            <w:r w:rsidRPr="004F35A0">
              <w:rPr>
                <w:rFonts w:ascii="Calibri" w:eastAsia="Times New Roman" w:hAnsi="Calibri" w:cs="Calibri"/>
                <w:color w:val="000000"/>
              </w:rPr>
              <w:t>revenue generation potential</w:t>
            </w:r>
            <w:r>
              <w:rPr>
                <w:rFonts w:ascii="Calibri" w:eastAsia="Times New Roman" w:hAnsi="Calibri" w:cs="Calibri"/>
                <w:color w:val="000000"/>
              </w:rPr>
              <w:t xml:space="preserve"> above €500k per year</w:t>
            </w:r>
            <w:r w:rsidRPr="004F35A0">
              <w:rPr>
                <w:rFonts w:ascii="Calibri" w:eastAsia="Times New Roman" w:hAnsi="Calibri" w:cs="Calibri"/>
                <w:color w:val="000000"/>
              </w:rPr>
              <w:t xml:space="preserve">) </w:t>
            </w:r>
          </w:p>
          <w:p w14:paraId="5C94AD14" w14:textId="77777777" w:rsidR="00037D68" w:rsidRPr="004F35A0" w:rsidRDefault="00037D68" w:rsidP="00037D68">
            <w:pPr>
              <w:numPr>
                <w:ilvl w:val="0"/>
                <w:numId w:val="17"/>
              </w:numPr>
              <w:spacing w:after="0" w:line="240" w:lineRule="auto"/>
              <w:textAlignment w:val="baseline"/>
              <w:rPr>
                <w:rFonts w:ascii="Calibri" w:eastAsia="Times New Roman" w:hAnsi="Calibri" w:cs="Calibri"/>
                <w:color w:val="000000"/>
              </w:rPr>
            </w:pPr>
            <w:r w:rsidRPr="004F35A0">
              <w:rPr>
                <w:rFonts w:ascii="Calibri" w:eastAsia="Times New Roman" w:hAnsi="Calibri" w:cs="Calibri"/>
                <w:color w:val="000000"/>
              </w:rPr>
              <w:t>Commercial history (e.g., paying customers, repeat purchases, etc.)</w:t>
            </w:r>
          </w:p>
          <w:p w14:paraId="4EC0C7FC" w14:textId="77777777" w:rsidR="00037D68" w:rsidRPr="004A4E1E" w:rsidRDefault="00037D68" w:rsidP="00037D68">
            <w:pPr>
              <w:numPr>
                <w:ilvl w:val="0"/>
                <w:numId w:val="17"/>
              </w:numPr>
              <w:spacing w:after="0" w:line="240" w:lineRule="auto"/>
              <w:textAlignment w:val="baseline"/>
              <w:rPr>
                <w:rFonts w:ascii="Calibri" w:eastAsia="Times New Roman" w:hAnsi="Calibri" w:cs="Calibri"/>
                <w:color w:val="000000"/>
              </w:rPr>
            </w:pPr>
            <w:r w:rsidRPr="004A4E1E">
              <w:rPr>
                <w:rFonts w:ascii="Calibri" w:eastAsia="Times New Roman" w:hAnsi="Calibri" w:cs="Calibri"/>
                <w:color w:val="000000"/>
              </w:rPr>
              <w:t xml:space="preserve">Financial </w:t>
            </w:r>
            <w:r w:rsidRPr="001B45F2">
              <w:rPr>
                <w:rFonts w:ascii="Calibri" w:eastAsia="Times New Roman" w:hAnsi="Calibri" w:cs="Calibri"/>
                <w:color w:val="000000"/>
              </w:rPr>
              <w:t>health</w:t>
            </w:r>
            <w:r w:rsidRPr="004A4E1E">
              <w:rPr>
                <w:rFonts w:ascii="Calibri" w:eastAsia="Times New Roman" w:hAnsi="Calibri" w:cs="Calibri"/>
                <w:color w:val="000000"/>
              </w:rPr>
              <w:t xml:space="preserve"> (e.g., cash position, available resources, etc.)</w:t>
            </w:r>
          </w:p>
          <w:p w14:paraId="54C4E1B7" w14:textId="77777777" w:rsidR="00037D68" w:rsidRPr="008669DF" w:rsidRDefault="00037D68" w:rsidP="00037D68">
            <w:pPr>
              <w:numPr>
                <w:ilvl w:val="0"/>
                <w:numId w:val="17"/>
              </w:numPr>
              <w:spacing w:after="0" w:line="240" w:lineRule="auto"/>
              <w:textAlignment w:val="baseline"/>
              <w:rPr>
                <w:lang w:eastAsia="de-DE"/>
              </w:rPr>
            </w:pPr>
            <w:r>
              <w:rPr>
                <w:rFonts w:ascii="Calibri" w:eastAsia="Times New Roman" w:hAnsi="Calibri" w:cs="Calibri"/>
                <w:color w:val="000000"/>
              </w:rPr>
              <w:t>Level of substantiation of financial forecasts</w:t>
            </w:r>
          </w:p>
          <w:p w14:paraId="7EEC829D" w14:textId="20141B26" w:rsidR="00037D68" w:rsidRPr="004F35A0" w:rsidRDefault="00037D68" w:rsidP="00037D68">
            <w:pPr>
              <w:numPr>
                <w:ilvl w:val="0"/>
                <w:numId w:val="17"/>
              </w:numPr>
              <w:spacing w:after="0" w:line="240" w:lineRule="auto"/>
              <w:textAlignment w:val="baseline"/>
              <w:rPr>
                <w:lang w:eastAsia="de-DE"/>
              </w:rPr>
            </w:pPr>
            <w:r>
              <w:rPr>
                <w:rFonts w:ascii="Calibri" w:eastAsia="Times New Roman" w:hAnsi="Calibri" w:cs="Calibri"/>
                <w:color w:val="000000"/>
                <w:lang w:eastAsia="de-DE"/>
              </w:rPr>
              <w:t>Ability to engage in success sharing with EIT Food</w:t>
            </w:r>
          </w:p>
        </w:tc>
        <w:tc>
          <w:tcPr>
            <w:tcW w:w="1048" w:type="dxa"/>
            <w:tcBorders>
              <w:top w:val="single" w:sz="6" w:space="0" w:color="auto"/>
              <w:left w:val="single" w:sz="6" w:space="0" w:color="auto"/>
              <w:bottom w:val="single" w:sz="6" w:space="0" w:color="auto"/>
              <w:right w:val="single" w:sz="6" w:space="0" w:color="auto"/>
            </w:tcBorders>
            <w:shd w:val="clear" w:color="auto" w:fill="auto"/>
          </w:tcPr>
          <w:p w14:paraId="525BB95F" w14:textId="5BA43B7C" w:rsidR="00037D68" w:rsidRPr="004F35A0" w:rsidRDefault="00037D68" w:rsidP="00037D68">
            <w:pPr>
              <w:spacing w:after="0" w:line="240" w:lineRule="auto"/>
              <w:textAlignment w:val="baseline"/>
              <w:rPr>
                <w:rFonts w:ascii="Calibri" w:eastAsia="Times New Roman" w:hAnsi="Calibri" w:cs="Calibri"/>
                <w:color w:val="000000"/>
                <w:lang w:eastAsia="de-DE"/>
              </w:rPr>
            </w:pPr>
            <w:r w:rsidRPr="004F35A0">
              <w:rPr>
                <w:rFonts w:ascii="Calibri" w:eastAsia="Times New Roman" w:hAnsi="Calibri" w:cs="Calibri"/>
                <w:color w:val="000000"/>
                <w:lang w:eastAsia="de-DE"/>
              </w:rPr>
              <w:t>0-5</w:t>
            </w:r>
          </w:p>
        </w:tc>
      </w:tr>
      <w:tr w:rsidR="00037D68" w:rsidRPr="004F35A0" w14:paraId="0CA5B7DE" w14:textId="77777777" w:rsidTr="2EBBAFFF">
        <w:trPr>
          <w:trHeight w:val="300"/>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D0C89FB" w14:textId="77777777" w:rsidR="00037D68" w:rsidRPr="004F35A0"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b/>
                <w:bCs/>
                <w:lang w:eastAsia="de-DE"/>
              </w:rPr>
              <w:t>Implementation and Feasibility</w:t>
            </w:r>
            <w:r w:rsidRPr="004F35A0">
              <w:rPr>
                <w:rFonts w:ascii="Calibri" w:eastAsia="Times New Roman" w:hAnsi="Calibri" w:cs="Calibri"/>
                <w:lang w:eastAsia="de-DE"/>
              </w:rPr>
              <w:t> </w:t>
            </w:r>
          </w:p>
          <w:p w14:paraId="45165C2B" w14:textId="77777777"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lang w:eastAsia="de-DE"/>
              </w:rPr>
              <w:t> </w:t>
            </w:r>
            <w:r w:rsidRPr="001B45F2">
              <w:rPr>
                <w:rFonts w:ascii="Calibri" w:eastAsia="Times New Roman" w:hAnsi="Calibri" w:cs="Calibri"/>
                <w:lang w:eastAsia="de-DE"/>
              </w:rPr>
              <w:t> </w:t>
            </w:r>
          </w:p>
          <w:p w14:paraId="40359F04" w14:textId="05DAAC60"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b/>
                <w:bCs/>
                <w:lang w:eastAsia="de-DE"/>
              </w:rPr>
              <w:t>20%</w:t>
            </w:r>
            <w:r w:rsidRPr="001B45F2">
              <w:rPr>
                <w:rFonts w:ascii="Calibri" w:eastAsia="Times New Roman" w:hAnsi="Calibri" w:cs="Calibri"/>
                <w:lang w:eastAsia="de-DE"/>
              </w:rPr>
              <w:t>  </w:t>
            </w:r>
          </w:p>
        </w:tc>
        <w:tc>
          <w:tcPr>
            <w:tcW w:w="6488" w:type="dxa"/>
            <w:tcBorders>
              <w:top w:val="single" w:sz="6" w:space="0" w:color="auto"/>
              <w:left w:val="single" w:sz="6" w:space="0" w:color="auto"/>
              <w:bottom w:val="single" w:sz="6" w:space="0" w:color="auto"/>
              <w:right w:val="single" w:sz="6" w:space="0" w:color="auto"/>
            </w:tcBorders>
            <w:shd w:val="clear" w:color="auto" w:fill="auto"/>
            <w:hideMark/>
          </w:tcPr>
          <w:p w14:paraId="56557EB4" w14:textId="77777777" w:rsidR="00037D68" w:rsidRDefault="00037D68" w:rsidP="00037D6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Assessed for the proposed project in question:</w:t>
            </w:r>
          </w:p>
          <w:p w14:paraId="28EAA2E6" w14:textId="77777777" w:rsidR="00037D68" w:rsidRPr="004F35A0" w:rsidRDefault="00037D68" w:rsidP="00037D68">
            <w:pPr>
              <w:numPr>
                <w:ilvl w:val="0"/>
                <w:numId w:val="1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Commercial capabilities of the project or founding team</w:t>
            </w:r>
          </w:p>
          <w:p w14:paraId="4C780D6C" w14:textId="77777777" w:rsidR="00037D68" w:rsidRDefault="00037D68" w:rsidP="00037D68">
            <w:pPr>
              <w:numPr>
                <w:ilvl w:val="0"/>
                <w:numId w:val="1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Qualifications of the project or founding team </w:t>
            </w:r>
          </w:p>
          <w:p w14:paraId="34A7C718" w14:textId="77777777" w:rsidR="00037D68" w:rsidRDefault="00037D68" w:rsidP="00037D68">
            <w:pPr>
              <w:numPr>
                <w:ilvl w:val="0"/>
                <w:numId w:val="18"/>
              </w:numPr>
              <w:spacing w:after="0" w:line="240" w:lineRule="auto"/>
              <w:textAlignment w:val="baseline"/>
              <w:rPr>
                <w:rFonts w:ascii="Calibri" w:eastAsia="Times New Roman" w:hAnsi="Calibri" w:cs="Calibri"/>
                <w:color w:val="000000"/>
              </w:rPr>
            </w:pPr>
            <w:r w:rsidRPr="77809E8F">
              <w:rPr>
                <w:rFonts w:ascii="Calibri" w:eastAsia="Times New Roman" w:hAnsi="Calibri" w:cs="Calibri"/>
                <w:color w:val="000000" w:themeColor="text1"/>
              </w:rPr>
              <w:t xml:space="preserve">Quality of project plan </w:t>
            </w:r>
          </w:p>
          <w:p w14:paraId="238DBBE9" w14:textId="77777777" w:rsidR="00037D68" w:rsidRPr="004F35A0" w:rsidRDefault="00037D68" w:rsidP="00037D68">
            <w:pPr>
              <w:numPr>
                <w:ilvl w:val="0"/>
                <w:numId w:val="18"/>
              </w:numPr>
              <w:spacing w:after="0" w:line="240" w:lineRule="auto"/>
              <w:textAlignment w:val="baseline"/>
              <w:rPr>
                <w:rFonts w:ascii="Calibri" w:eastAsia="Times New Roman" w:hAnsi="Calibri" w:cs="Calibri"/>
                <w:color w:val="000000"/>
              </w:rPr>
            </w:pPr>
            <w:r w:rsidRPr="77809E8F">
              <w:rPr>
                <w:rFonts w:ascii="Calibri" w:eastAsia="Times New Roman" w:hAnsi="Calibri" w:cs="Calibri"/>
                <w:color w:val="000000" w:themeColor="text1"/>
              </w:rPr>
              <w:t>Quality of budget plan</w:t>
            </w:r>
          </w:p>
          <w:p w14:paraId="642227D4" w14:textId="0F6EAB78" w:rsidR="00037D68" w:rsidRPr="004F35A0" w:rsidRDefault="00037D68" w:rsidP="00037D68">
            <w:pPr>
              <w:numPr>
                <w:ilvl w:val="0"/>
                <w:numId w:val="18"/>
              </w:numPr>
              <w:spacing w:after="0" w:line="240" w:lineRule="auto"/>
              <w:textAlignment w:val="baseline"/>
              <w:rPr>
                <w:rFonts w:eastAsia="Times New Roman" w:cstheme="minorHAnsi"/>
                <w:lang w:eastAsia="de-DE"/>
              </w:rPr>
            </w:pPr>
            <w:r w:rsidRPr="1D1CC546">
              <w:rPr>
                <w:rFonts w:ascii="Calibri" w:eastAsia="Times New Roman" w:hAnsi="Calibri" w:cs="Calibri"/>
                <w:color w:val="000000" w:themeColor="text1"/>
              </w:rPr>
              <w:t>Comprehensiveness of identified risks and their subsequent mitigation plans</w:t>
            </w:r>
          </w:p>
        </w:tc>
        <w:tc>
          <w:tcPr>
            <w:tcW w:w="1048" w:type="dxa"/>
            <w:tcBorders>
              <w:top w:val="single" w:sz="6" w:space="0" w:color="auto"/>
              <w:left w:val="single" w:sz="6" w:space="0" w:color="auto"/>
              <w:bottom w:val="single" w:sz="6" w:space="0" w:color="auto"/>
              <w:right w:val="single" w:sz="6" w:space="0" w:color="auto"/>
            </w:tcBorders>
            <w:shd w:val="clear" w:color="auto" w:fill="auto"/>
            <w:hideMark/>
          </w:tcPr>
          <w:p w14:paraId="0D5EE5E2" w14:textId="7DDE1753" w:rsidR="00037D68" w:rsidRPr="001B45F2" w:rsidRDefault="00037D68" w:rsidP="00037D68">
            <w:pPr>
              <w:spacing w:after="0" w:line="240" w:lineRule="auto"/>
              <w:textAlignment w:val="baseline"/>
              <w:rPr>
                <w:rFonts w:ascii="Segoe UI" w:eastAsia="Times New Roman" w:hAnsi="Segoe UI" w:cs="Segoe UI"/>
                <w:sz w:val="18"/>
                <w:szCs w:val="18"/>
                <w:lang w:eastAsia="de-DE"/>
              </w:rPr>
            </w:pPr>
            <w:r w:rsidRPr="004F35A0">
              <w:rPr>
                <w:rFonts w:ascii="Calibri" w:eastAsia="Times New Roman" w:hAnsi="Calibri" w:cs="Calibri"/>
                <w:color w:val="000000"/>
                <w:lang w:eastAsia="de-DE"/>
              </w:rPr>
              <w:t>0-5</w:t>
            </w:r>
            <w:r w:rsidRPr="001B45F2">
              <w:rPr>
                <w:rFonts w:ascii="Calibri" w:eastAsia="Times New Roman" w:hAnsi="Calibri" w:cs="Calibri"/>
                <w:color w:val="000000"/>
                <w:lang w:eastAsia="de-DE"/>
              </w:rPr>
              <w:t>  </w:t>
            </w:r>
          </w:p>
        </w:tc>
      </w:tr>
    </w:tbl>
    <w:p w14:paraId="4C8B6BEE" w14:textId="77777777" w:rsidR="00880976" w:rsidRPr="004F35A0" w:rsidRDefault="00880976" w:rsidP="00880976">
      <w:pPr>
        <w:spacing w:after="0" w:line="240" w:lineRule="auto"/>
        <w:jc w:val="both"/>
        <w:rPr>
          <w:rFonts w:ascii="Segoe UI" w:eastAsia="Times New Roman" w:hAnsi="Segoe UI" w:cs="Segoe UI"/>
          <w:color w:val="000000" w:themeColor="text1"/>
          <w:sz w:val="18"/>
          <w:szCs w:val="18"/>
        </w:rPr>
      </w:pPr>
    </w:p>
    <w:p w14:paraId="2184265F" w14:textId="4FAAA071" w:rsidR="00CE33FD" w:rsidRPr="004F35A0" w:rsidRDefault="00CE33FD" w:rsidP="00880976">
      <w:pPr>
        <w:spacing w:line="257" w:lineRule="auto"/>
      </w:pPr>
      <w:r w:rsidRPr="1D1CC546">
        <w:lastRenderedPageBreak/>
        <w:t>*</w:t>
      </w:r>
      <w:r w:rsidR="003C4B3E" w:rsidRPr="1D1CC546">
        <w:t>EIT Food observes a ‘</w:t>
      </w:r>
      <w:r w:rsidR="00BB6E97" w:rsidRPr="1D1CC546">
        <w:t xml:space="preserve">minimum </w:t>
      </w:r>
      <w:r w:rsidRPr="1D1CC546">
        <w:t>financial feasibility</w:t>
      </w:r>
      <w:r w:rsidR="003C4B3E" w:rsidRPr="1D1CC546">
        <w:t xml:space="preserve">’ principle. If </w:t>
      </w:r>
      <w:r w:rsidR="00F3107E">
        <w:t>the applicant</w:t>
      </w:r>
      <w:r w:rsidR="00B41CE2">
        <w:t xml:space="preserve">’s financial health is deemed to be inadequate </w:t>
      </w:r>
      <w:r w:rsidR="003C4B3E" w:rsidRPr="1D1CC546">
        <w:t xml:space="preserve">in relation </w:t>
      </w:r>
      <w:r w:rsidR="00BB6E97" w:rsidRPr="1D1CC546">
        <w:t xml:space="preserve">to </w:t>
      </w:r>
      <w:r w:rsidR="003C4B3E" w:rsidRPr="1D1CC546">
        <w:t xml:space="preserve">the </w:t>
      </w:r>
      <w:r w:rsidR="00FE7AFC">
        <w:t xml:space="preserve">documents </w:t>
      </w:r>
      <w:r w:rsidR="00BB6E97" w:rsidRPr="1D1CC546">
        <w:t xml:space="preserve">provided </w:t>
      </w:r>
      <w:r w:rsidR="003C4B3E" w:rsidRPr="1D1CC546">
        <w:t xml:space="preserve">in the proposal, the </w:t>
      </w:r>
      <w:r w:rsidR="00BB6E97" w:rsidRPr="1D1CC546">
        <w:t xml:space="preserve">proposal </w:t>
      </w:r>
      <w:r w:rsidR="003C4B3E" w:rsidRPr="1D1CC546">
        <w:t xml:space="preserve">score will be set to 0. </w:t>
      </w:r>
    </w:p>
    <w:p w14:paraId="1BB870B7" w14:textId="2DA802E7" w:rsidR="00880976" w:rsidRPr="004F35A0" w:rsidRDefault="00880976" w:rsidP="00880976">
      <w:pPr>
        <w:spacing w:line="257" w:lineRule="auto"/>
      </w:pPr>
      <w:r w:rsidRPr="1D1CC546">
        <w:t xml:space="preserve">Each evaluation sub-criterion will be scored from 1 to 5 using the following scoring system.  </w:t>
      </w:r>
    </w:p>
    <w:p w14:paraId="0DC8DB80" w14:textId="06D215DE" w:rsidR="00880976" w:rsidRPr="00880976" w:rsidRDefault="00880976" w:rsidP="00880976">
      <w:pPr>
        <w:spacing w:line="257" w:lineRule="auto"/>
        <w:rPr>
          <w:b/>
        </w:rPr>
      </w:pPr>
      <w:r w:rsidRPr="1D1CC546">
        <w:rPr>
          <w:b/>
        </w:rPr>
        <w:t xml:space="preserve">The quality threshold for selection is a total score </w:t>
      </w:r>
      <w:r w:rsidRPr="00CF6422">
        <w:rPr>
          <w:b/>
        </w:rPr>
        <w:t>of 3.5.</w:t>
      </w:r>
    </w:p>
    <w:tbl>
      <w:tblPr>
        <w:tblW w:w="9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800"/>
        <w:gridCol w:w="6590"/>
      </w:tblGrid>
      <w:tr w:rsidR="00880976" w:rsidRPr="004F35A0" w14:paraId="1AD6176A"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D9967C2" w14:textId="77777777" w:rsidR="00880976" w:rsidRPr="004F35A0" w:rsidRDefault="00880976" w:rsidP="007B299B">
            <w:pPr>
              <w:rPr>
                <w:rFonts w:ascii="Segoe UI" w:hAnsi="Segoe UI" w:cs="Segoe UI"/>
                <w:sz w:val="18"/>
                <w:szCs w:val="18"/>
                <w:lang w:eastAsia="en-GB"/>
              </w:rPr>
            </w:pPr>
            <w:r w:rsidRPr="004F35A0">
              <w:rPr>
                <w:lang w:eastAsia="en-GB"/>
              </w:rPr>
              <w:t>Score </w:t>
            </w:r>
          </w:p>
        </w:tc>
        <w:tc>
          <w:tcPr>
            <w:tcW w:w="180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12E6867" w14:textId="77777777" w:rsidR="00880976" w:rsidRPr="004F35A0" w:rsidRDefault="00880976" w:rsidP="007B299B">
            <w:pPr>
              <w:rPr>
                <w:rFonts w:ascii="Segoe UI" w:hAnsi="Segoe UI" w:cs="Segoe UI"/>
                <w:sz w:val="18"/>
                <w:szCs w:val="18"/>
                <w:lang w:eastAsia="en-GB"/>
              </w:rPr>
            </w:pPr>
            <w:r w:rsidRPr="004F35A0">
              <w:rPr>
                <w:lang w:eastAsia="en-GB"/>
              </w:rPr>
              <w:t> </w:t>
            </w:r>
          </w:p>
        </w:tc>
        <w:tc>
          <w:tcPr>
            <w:tcW w:w="659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C67F2AF" w14:textId="77777777" w:rsidR="00880976" w:rsidRPr="004F35A0" w:rsidRDefault="00880976" w:rsidP="007B299B">
            <w:pPr>
              <w:rPr>
                <w:rFonts w:ascii="Segoe UI" w:hAnsi="Segoe UI" w:cs="Segoe UI"/>
                <w:sz w:val="18"/>
                <w:szCs w:val="18"/>
                <w:lang w:eastAsia="en-GB"/>
              </w:rPr>
            </w:pPr>
            <w:r w:rsidRPr="004F35A0">
              <w:rPr>
                <w:color w:val="000000"/>
                <w:lang w:eastAsia="en-GB"/>
              </w:rPr>
              <w:t>Description  </w:t>
            </w:r>
          </w:p>
        </w:tc>
      </w:tr>
      <w:tr w:rsidR="00880976" w:rsidRPr="004F35A0" w14:paraId="7041C547"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24D104E" w14:textId="77777777" w:rsidR="00880976" w:rsidRPr="004F35A0" w:rsidRDefault="00880976" w:rsidP="007B299B">
            <w:pPr>
              <w:rPr>
                <w:rFonts w:cstheme="minorHAnsi"/>
                <w:sz w:val="18"/>
                <w:szCs w:val="18"/>
                <w:lang w:eastAsia="en-GB"/>
              </w:rPr>
            </w:pPr>
            <w:r w:rsidRPr="004F35A0">
              <w:rPr>
                <w:rFonts w:cstheme="minorHAnsi"/>
                <w:lang w:eastAsia="en-GB"/>
              </w:rPr>
              <w:t>0 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1774F2A" w14:textId="77777777" w:rsidR="00880976" w:rsidRPr="004F35A0" w:rsidRDefault="00880976" w:rsidP="007B299B">
            <w:pPr>
              <w:rPr>
                <w:rFonts w:cstheme="minorHAnsi"/>
                <w:sz w:val="18"/>
                <w:szCs w:val="18"/>
                <w:lang w:eastAsia="en-GB"/>
              </w:rPr>
            </w:pPr>
            <w:r w:rsidRPr="004F35A0">
              <w:rPr>
                <w:rFonts w:cstheme="minorHAnsi"/>
                <w:lang w:eastAsia="en-GB"/>
              </w:rPr>
              <w:t>Not addressed </w:t>
            </w:r>
          </w:p>
        </w:tc>
        <w:tc>
          <w:tcPr>
            <w:tcW w:w="6590" w:type="dxa"/>
            <w:tcBorders>
              <w:top w:val="single" w:sz="6" w:space="0" w:color="auto"/>
              <w:left w:val="single" w:sz="6" w:space="0" w:color="auto"/>
              <w:bottom w:val="single" w:sz="6" w:space="0" w:color="auto"/>
              <w:right w:val="single" w:sz="6" w:space="0" w:color="auto"/>
            </w:tcBorders>
            <w:shd w:val="clear" w:color="auto" w:fill="auto"/>
            <w:hideMark/>
          </w:tcPr>
          <w:p w14:paraId="5924B507" w14:textId="77777777" w:rsidR="00880976" w:rsidRPr="004F35A0" w:rsidRDefault="00880976" w:rsidP="007B299B">
            <w:pPr>
              <w:rPr>
                <w:rFonts w:cstheme="minorHAnsi"/>
                <w:sz w:val="18"/>
                <w:szCs w:val="18"/>
                <w:lang w:eastAsia="en-GB"/>
              </w:rPr>
            </w:pPr>
            <w:r w:rsidRPr="004F35A0">
              <w:rPr>
                <w:rFonts w:cstheme="minorHAnsi"/>
                <w:color w:val="000000"/>
                <w:lang w:eastAsia="en-GB"/>
              </w:rPr>
              <w:t>Not addressed   </w:t>
            </w:r>
          </w:p>
        </w:tc>
      </w:tr>
      <w:tr w:rsidR="00880976" w:rsidRPr="004F35A0" w14:paraId="275ED2BE"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63A2423" w14:textId="77777777" w:rsidR="00880976" w:rsidRPr="004F35A0" w:rsidRDefault="00880976" w:rsidP="007B299B">
            <w:pPr>
              <w:rPr>
                <w:rFonts w:cstheme="minorHAnsi"/>
                <w:sz w:val="18"/>
                <w:szCs w:val="18"/>
                <w:lang w:eastAsia="en-GB"/>
              </w:rPr>
            </w:pPr>
            <w:r w:rsidRPr="004F35A0">
              <w:rPr>
                <w:rFonts w:cstheme="minorHAnsi"/>
                <w:lang w:eastAsia="en-GB"/>
              </w:rPr>
              <w:t>1 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F89298F" w14:textId="77777777" w:rsidR="00880976" w:rsidRPr="004F35A0" w:rsidRDefault="00880976" w:rsidP="007B299B">
            <w:pPr>
              <w:rPr>
                <w:rFonts w:cstheme="minorHAnsi"/>
                <w:sz w:val="18"/>
                <w:szCs w:val="18"/>
                <w:lang w:eastAsia="en-GB"/>
              </w:rPr>
            </w:pPr>
            <w:r w:rsidRPr="004F35A0">
              <w:rPr>
                <w:rFonts w:cstheme="minorHAnsi"/>
                <w:lang w:eastAsia="en-GB"/>
              </w:rPr>
              <w:t>Poor </w:t>
            </w:r>
          </w:p>
        </w:tc>
        <w:tc>
          <w:tcPr>
            <w:tcW w:w="6590" w:type="dxa"/>
            <w:tcBorders>
              <w:top w:val="single" w:sz="6" w:space="0" w:color="auto"/>
              <w:left w:val="single" w:sz="6" w:space="0" w:color="auto"/>
              <w:bottom w:val="single" w:sz="6" w:space="0" w:color="auto"/>
              <w:right w:val="single" w:sz="6" w:space="0" w:color="auto"/>
            </w:tcBorders>
            <w:shd w:val="clear" w:color="auto" w:fill="auto"/>
            <w:hideMark/>
          </w:tcPr>
          <w:p w14:paraId="6C0C1A6E" w14:textId="77777777" w:rsidR="00880976" w:rsidRPr="004F35A0" w:rsidRDefault="00880976" w:rsidP="007B299B">
            <w:pPr>
              <w:rPr>
                <w:rFonts w:cstheme="minorHAnsi"/>
                <w:sz w:val="18"/>
                <w:szCs w:val="18"/>
                <w:lang w:eastAsia="en-GB"/>
              </w:rPr>
            </w:pPr>
            <w:r w:rsidRPr="004F35A0">
              <w:rPr>
                <w:rFonts w:cstheme="minorHAnsi"/>
                <w:color w:val="000000"/>
                <w:lang w:eastAsia="en-GB"/>
              </w:rPr>
              <w:t>The criterion is inadequately addressed, or there are serious inherent weaknesses   </w:t>
            </w:r>
          </w:p>
        </w:tc>
      </w:tr>
      <w:tr w:rsidR="00880976" w:rsidRPr="004F35A0" w14:paraId="4A400C23"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BC78256" w14:textId="77777777" w:rsidR="00880976" w:rsidRPr="004F35A0" w:rsidRDefault="00880976" w:rsidP="007B299B">
            <w:pPr>
              <w:rPr>
                <w:rFonts w:cstheme="minorHAnsi"/>
                <w:sz w:val="18"/>
                <w:szCs w:val="18"/>
                <w:lang w:eastAsia="en-GB"/>
              </w:rPr>
            </w:pPr>
            <w:r w:rsidRPr="004F35A0">
              <w:rPr>
                <w:rFonts w:cstheme="minorHAnsi"/>
                <w:lang w:eastAsia="en-GB"/>
              </w:rPr>
              <w:t>2 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FE009BD" w14:textId="77777777" w:rsidR="00880976" w:rsidRPr="004F35A0" w:rsidRDefault="00880976" w:rsidP="007B299B">
            <w:pPr>
              <w:rPr>
                <w:rFonts w:cstheme="minorHAnsi"/>
                <w:sz w:val="18"/>
                <w:szCs w:val="18"/>
                <w:lang w:eastAsia="en-GB"/>
              </w:rPr>
            </w:pPr>
            <w:r w:rsidRPr="004F35A0">
              <w:rPr>
                <w:rFonts w:cstheme="minorHAnsi"/>
                <w:lang w:eastAsia="en-GB"/>
              </w:rPr>
              <w:t>Fair </w:t>
            </w:r>
          </w:p>
        </w:tc>
        <w:tc>
          <w:tcPr>
            <w:tcW w:w="6590" w:type="dxa"/>
            <w:tcBorders>
              <w:top w:val="single" w:sz="6" w:space="0" w:color="auto"/>
              <w:left w:val="single" w:sz="6" w:space="0" w:color="auto"/>
              <w:bottom w:val="single" w:sz="6" w:space="0" w:color="auto"/>
              <w:right w:val="single" w:sz="6" w:space="0" w:color="auto"/>
            </w:tcBorders>
            <w:shd w:val="clear" w:color="auto" w:fill="auto"/>
            <w:hideMark/>
          </w:tcPr>
          <w:p w14:paraId="40E27219" w14:textId="77777777" w:rsidR="00880976" w:rsidRPr="004F35A0" w:rsidRDefault="00880976" w:rsidP="007B299B">
            <w:pPr>
              <w:rPr>
                <w:rFonts w:cstheme="minorHAnsi"/>
                <w:sz w:val="18"/>
                <w:szCs w:val="18"/>
                <w:lang w:eastAsia="en-GB"/>
              </w:rPr>
            </w:pPr>
            <w:r w:rsidRPr="004F35A0">
              <w:rPr>
                <w:rFonts w:cstheme="minorHAnsi"/>
                <w:color w:val="000000"/>
                <w:lang w:eastAsia="en-GB"/>
              </w:rPr>
              <w:t>Application broadly addresses the criterion but there are significant weaknesses   </w:t>
            </w:r>
          </w:p>
        </w:tc>
      </w:tr>
      <w:tr w:rsidR="00880976" w:rsidRPr="004F35A0" w14:paraId="228B1FC2"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61E7981" w14:textId="77777777" w:rsidR="00880976" w:rsidRPr="004F35A0" w:rsidRDefault="00880976" w:rsidP="007B299B">
            <w:pPr>
              <w:rPr>
                <w:rFonts w:cstheme="minorHAnsi"/>
                <w:sz w:val="18"/>
                <w:szCs w:val="18"/>
                <w:lang w:eastAsia="en-GB"/>
              </w:rPr>
            </w:pPr>
            <w:r w:rsidRPr="004F35A0">
              <w:rPr>
                <w:rFonts w:cstheme="minorHAnsi"/>
                <w:lang w:eastAsia="en-GB"/>
              </w:rPr>
              <w:t>3 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A27F4B9" w14:textId="77777777" w:rsidR="00880976" w:rsidRPr="004F35A0" w:rsidRDefault="00880976" w:rsidP="007B299B">
            <w:pPr>
              <w:rPr>
                <w:rFonts w:cstheme="minorHAnsi"/>
                <w:sz w:val="18"/>
                <w:szCs w:val="18"/>
                <w:lang w:eastAsia="en-GB"/>
              </w:rPr>
            </w:pPr>
            <w:r w:rsidRPr="004F35A0">
              <w:rPr>
                <w:rFonts w:cstheme="minorHAnsi"/>
                <w:lang w:eastAsia="en-GB"/>
              </w:rPr>
              <w:t>Good </w:t>
            </w:r>
          </w:p>
        </w:tc>
        <w:tc>
          <w:tcPr>
            <w:tcW w:w="6590" w:type="dxa"/>
            <w:tcBorders>
              <w:top w:val="single" w:sz="6" w:space="0" w:color="auto"/>
              <w:left w:val="single" w:sz="6" w:space="0" w:color="auto"/>
              <w:bottom w:val="single" w:sz="6" w:space="0" w:color="auto"/>
              <w:right w:val="single" w:sz="6" w:space="0" w:color="auto"/>
            </w:tcBorders>
            <w:shd w:val="clear" w:color="auto" w:fill="auto"/>
            <w:hideMark/>
          </w:tcPr>
          <w:p w14:paraId="59E43326" w14:textId="77777777" w:rsidR="00880976" w:rsidRPr="00367082" w:rsidRDefault="00880976" w:rsidP="007B299B">
            <w:pPr>
              <w:rPr>
                <w:sz w:val="18"/>
                <w:szCs w:val="18"/>
                <w:lang w:eastAsia="en-GB"/>
              </w:rPr>
            </w:pPr>
            <w:r w:rsidRPr="1D1CC546">
              <w:rPr>
                <w:color w:val="000000" w:themeColor="text1"/>
                <w:lang w:eastAsia="en-GB"/>
              </w:rPr>
              <w:t>Application addresses the criterion well, but a number of shortcomings are present   </w:t>
            </w:r>
          </w:p>
        </w:tc>
      </w:tr>
      <w:tr w:rsidR="00880976" w:rsidRPr="004F35A0" w14:paraId="6F7223FA"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4E1EFB" w14:textId="77777777" w:rsidR="00880976" w:rsidRPr="004F35A0" w:rsidRDefault="00880976" w:rsidP="007B299B">
            <w:pPr>
              <w:rPr>
                <w:rFonts w:cstheme="minorHAnsi"/>
                <w:sz w:val="18"/>
                <w:szCs w:val="18"/>
                <w:lang w:eastAsia="en-GB"/>
              </w:rPr>
            </w:pPr>
            <w:r w:rsidRPr="004F35A0">
              <w:rPr>
                <w:rFonts w:cstheme="minorHAnsi"/>
                <w:lang w:eastAsia="en-GB"/>
              </w:rPr>
              <w:t>4 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607644B" w14:textId="77777777" w:rsidR="00880976" w:rsidRPr="00367082" w:rsidRDefault="00880976" w:rsidP="007B299B">
            <w:pPr>
              <w:rPr>
                <w:sz w:val="18"/>
                <w:szCs w:val="18"/>
                <w:lang w:eastAsia="en-GB"/>
              </w:rPr>
            </w:pPr>
            <w:r w:rsidRPr="1D1CC546">
              <w:rPr>
                <w:lang w:eastAsia="en-GB"/>
              </w:rPr>
              <w:t>Very good </w:t>
            </w:r>
          </w:p>
        </w:tc>
        <w:tc>
          <w:tcPr>
            <w:tcW w:w="6590" w:type="dxa"/>
            <w:tcBorders>
              <w:top w:val="single" w:sz="6" w:space="0" w:color="auto"/>
              <w:left w:val="single" w:sz="6" w:space="0" w:color="auto"/>
              <w:bottom w:val="single" w:sz="6" w:space="0" w:color="auto"/>
              <w:right w:val="single" w:sz="6" w:space="0" w:color="auto"/>
            </w:tcBorders>
            <w:shd w:val="clear" w:color="auto" w:fill="auto"/>
            <w:hideMark/>
          </w:tcPr>
          <w:p w14:paraId="049F5450" w14:textId="77777777" w:rsidR="00880976" w:rsidRPr="004F35A0" w:rsidRDefault="00880976" w:rsidP="007B299B">
            <w:pPr>
              <w:rPr>
                <w:rFonts w:cstheme="minorHAnsi"/>
                <w:sz w:val="18"/>
                <w:szCs w:val="18"/>
                <w:lang w:eastAsia="en-GB"/>
              </w:rPr>
            </w:pPr>
            <w:r w:rsidRPr="004F35A0">
              <w:rPr>
                <w:rFonts w:cstheme="minorHAnsi"/>
                <w:color w:val="000000"/>
                <w:lang w:eastAsia="en-GB"/>
              </w:rPr>
              <w:t>Application addresses the criterion very well, but a small number of shortcomings are present   </w:t>
            </w:r>
          </w:p>
        </w:tc>
      </w:tr>
      <w:tr w:rsidR="00880976" w:rsidRPr="004F35A0" w14:paraId="0B6136B5" w14:textId="77777777" w:rsidTr="2EBBAFFF">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08DB2064" w14:textId="77777777" w:rsidR="00880976" w:rsidRPr="004F35A0" w:rsidRDefault="00880976" w:rsidP="007B299B">
            <w:pPr>
              <w:rPr>
                <w:rFonts w:cstheme="minorHAnsi"/>
                <w:sz w:val="18"/>
                <w:szCs w:val="18"/>
                <w:lang w:eastAsia="en-GB"/>
              </w:rPr>
            </w:pPr>
            <w:r w:rsidRPr="004F35A0">
              <w:rPr>
                <w:rFonts w:cstheme="minorHAnsi"/>
                <w:lang w:eastAsia="en-GB"/>
              </w:rPr>
              <w:t>5 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9764576" w14:textId="77777777" w:rsidR="00880976" w:rsidRPr="004F35A0" w:rsidRDefault="00880976" w:rsidP="007B299B">
            <w:pPr>
              <w:rPr>
                <w:rFonts w:cstheme="minorHAnsi"/>
                <w:sz w:val="18"/>
                <w:szCs w:val="18"/>
                <w:lang w:eastAsia="en-GB"/>
              </w:rPr>
            </w:pPr>
            <w:r w:rsidRPr="004F35A0">
              <w:rPr>
                <w:rFonts w:cstheme="minorHAnsi"/>
                <w:lang w:eastAsia="en-GB"/>
              </w:rPr>
              <w:t>Excellent </w:t>
            </w:r>
          </w:p>
        </w:tc>
        <w:tc>
          <w:tcPr>
            <w:tcW w:w="6590" w:type="dxa"/>
            <w:tcBorders>
              <w:top w:val="single" w:sz="6" w:space="0" w:color="auto"/>
              <w:left w:val="single" w:sz="6" w:space="0" w:color="auto"/>
              <w:bottom w:val="single" w:sz="6" w:space="0" w:color="auto"/>
              <w:right w:val="single" w:sz="6" w:space="0" w:color="auto"/>
            </w:tcBorders>
            <w:shd w:val="clear" w:color="auto" w:fill="auto"/>
            <w:hideMark/>
          </w:tcPr>
          <w:p w14:paraId="2953B55B" w14:textId="77777777" w:rsidR="00880976" w:rsidRPr="004F35A0" w:rsidRDefault="00880976" w:rsidP="007B299B">
            <w:pPr>
              <w:rPr>
                <w:rFonts w:cstheme="minorHAnsi"/>
                <w:sz w:val="18"/>
                <w:szCs w:val="18"/>
                <w:lang w:eastAsia="en-GB"/>
              </w:rPr>
            </w:pPr>
            <w:r w:rsidRPr="004F35A0">
              <w:rPr>
                <w:rFonts w:cstheme="minorHAnsi"/>
                <w:color w:val="000000"/>
                <w:lang w:eastAsia="en-GB"/>
              </w:rPr>
              <w:t>Application successfully addresses all relevant aspects of the criterion. Any shortcomings are minor.  </w:t>
            </w:r>
          </w:p>
        </w:tc>
      </w:tr>
    </w:tbl>
    <w:p w14:paraId="4CF3743E" w14:textId="1709C10F" w:rsidR="00BE5B35" w:rsidRPr="004F35A0" w:rsidRDefault="0D7AFA88" w:rsidP="586DA79C">
      <w:pPr>
        <w:spacing w:after="0" w:line="240" w:lineRule="auto"/>
        <w:rPr>
          <w:b/>
          <w:bCs/>
        </w:rPr>
      </w:pPr>
      <w:r w:rsidRPr="586DA79C">
        <w:rPr>
          <w:b/>
          <w:bCs/>
        </w:rPr>
        <w:t xml:space="preserve">Proposals will be selected based on a final ranking until the funding is exhausted. </w:t>
      </w:r>
    </w:p>
    <w:p w14:paraId="50E483C0" w14:textId="6065464E" w:rsidR="586DA79C" w:rsidRDefault="586DA79C" w:rsidP="586DA79C">
      <w:pPr>
        <w:spacing w:after="0" w:line="240" w:lineRule="auto"/>
        <w:rPr>
          <w:b/>
          <w:bCs/>
        </w:rPr>
      </w:pPr>
    </w:p>
    <w:p w14:paraId="3C047F3E" w14:textId="2B3A15F5" w:rsidR="00BE5B35" w:rsidRPr="004F35A0" w:rsidRDefault="6DC1CD9C" w:rsidP="2EBBAFFF">
      <w:pPr>
        <w:pStyle w:val="Heading2"/>
        <w:spacing w:line="240" w:lineRule="auto"/>
      </w:pPr>
      <w:bookmarkStart w:id="18" w:name="_Toc126237564"/>
      <w:r>
        <w:t>8</w:t>
      </w:r>
      <w:r w:rsidR="46D94F12">
        <w:t>.</w:t>
      </w:r>
      <w:r w:rsidR="63CF6B49">
        <w:t xml:space="preserve"> </w:t>
      </w:r>
      <w:r w:rsidR="46D94F12">
        <w:t>Appeal on Evaluation Results</w:t>
      </w:r>
      <w:bookmarkEnd w:id="18"/>
    </w:p>
    <w:p w14:paraId="3528F61E" w14:textId="77777777" w:rsidR="00295E6E" w:rsidRDefault="00295E6E" w:rsidP="2EBBAFFF">
      <w:pPr>
        <w:spacing w:after="0" w:line="240" w:lineRule="auto"/>
      </w:pPr>
    </w:p>
    <w:p w14:paraId="060D4C0C" w14:textId="250E6AEE" w:rsidR="00BE5B35" w:rsidRPr="004F35A0" w:rsidRDefault="6E63D439" w:rsidP="2EBBAFFF">
      <w:pPr>
        <w:spacing w:after="0" w:line="240" w:lineRule="auto"/>
      </w:pPr>
      <w:r>
        <w:t xml:space="preserve">All activity leaders will be alerted in writing to the outcome of their proposal. </w:t>
      </w:r>
    </w:p>
    <w:p w14:paraId="0A91C626" w14:textId="25005D14" w:rsidR="00BE5B35" w:rsidRPr="004F35A0" w:rsidRDefault="6E63D439" w:rsidP="00BE5B35">
      <w:pPr>
        <w:spacing w:after="0" w:line="240" w:lineRule="auto"/>
      </w:pPr>
      <w:r>
        <w:t xml:space="preserve">They can submit an appeal within 5 days of receiving their result, if: </w:t>
      </w:r>
    </w:p>
    <w:p w14:paraId="2A96F1EC" w14:textId="2C503BA5" w:rsidR="00BE5B35" w:rsidRPr="004F35A0" w:rsidRDefault="6E63D439" w:rsidP="2EBBAFFF">
      <w:pPr>
        <w:pStyle w:val="ListParagraph"/>
        <w:numPr>
          <w:ilvl w:val="0"/>
          <w:numId w:val="1"/>
        </w:numPr>
        <w:spacing w:after="0" w:line="240" w:lineRule="auto"/>
      </w:pPr>
      <w:r>
        <w:t xml:space="preserve">The evaluation of their proposal has not been carried out in accordance with the procedures set out in this document. </w:t>
      </w:r>
    </w:p>
    <w:p w14:paraId="3F21BC28" w14:textId="034A5FDF" w:rsidR="6E63D439" w:rsidRDefault="6E63D439" w:rsidP="16006973">
      <w:pPr>
        <w:spacing w:after="0" w:line="240" w:lineRule="auto"/>
      </w:pPr>
      <w:r>
        <w:t xml:space="preserve">For more details, please refer to </w:t>
      </w:r>
      <w:hyperlink r:id="rId35">
        <w:r w:rsidRPr="16006973">
          <w:rPr>
            <w:rStyle w:val="Hyperlink"/>
          </w:rPr>
          <w:t>EIT F</w:t>
        </w:r>
        <w:r w:rsidR="1BC9B892" w:rsidRPr="16006973">
          <w:rPr>
            <w:rStyle w:val="Hyperlink"/>
          </w:rPr>
          <w:t>ood Redress guidance</w:t>
        </w:r>
      </w:hyperlink>
      <w:r w:rsidR="1BC9B892">
        <w:t>.</w:t>
      </w:r>
      <w:bookmarkStart w:id="19" w:name="_Toc78972858"/>
      <w:bookmarkStart w:id="20" w:name="_Toc79042313"/>
      <w:bookmarkStart w:id="21" w:name="_Toc79042745"/>
      <w:bookmarkStart w:id="22" w:name="_Toc79042805"/>
      <w:bookmarkStart w:id="23" w:name="_Toc79042871"/>
      <w:bookmarkStart w:id="24" w:name="_Toc79045402"/>
      <w:bookmarkStart w:id="25" w:name="_Toc78972859"/>
      <w:bookmarkStart w:id="26" w:name="_Toc79042314"/>
      <w:bookmarkStart w:id="27" w:name="_Toc79042746"/>
      <w:bookmarkStart w:id="28" w:name="_Toc79042806"/>
      <w:bookmarkStart w:id="29" w:name="_Toc79042872"/>
      <w:bookmarkStart w:id="30" w:name="_Toc79045403"/>
      <w:bookmarkStart w:id="31" w:name="_Toc78972861"/>
      <w:bookmarkStart w:id="32" w:name="_Toc79042316"/>
      <w:bookmarkStart w:id="33" w:name="_Toc79042748"/>
      <w:bookmarkStart w:id="34" w:name="_Toc79042808"/>
      <w:bookmarkStart w:id="35" w:name="_Toc79042874"/>
      <w:bookmarkStart w:id="36" w:name="_Toc79045405"/>
      <w:bookmarkStart w:id="37" w:name="_Toc78972862"/>
      <w:bookmarkStart w:id="38" w:name="_Toc79042317"/>
      <w:bookmarkStart w:id="39" w:name="_Toc79042749"/>
      <w:bookmarkStart w:id="40" w:name="_Toc79042809"/>
      <w:bookmarkStart w:id="41" w:name="_Toc79042875"/>
      <w:bookmarkStart w:id="42" w:name="_Toc79045406"/>
      <w:bookmarkStart w:id="43" w:name="_Toc78972863"/>
      <w:bookmarkStart w:id="44" w:name="_Toc79042318"/>
      <w:bookmarkStart w:id="45" w:name="_Toc79042750"/>
      <w:bookmarkStart w:id="46" w:name="_Toc79042810"/>
      <w:bookmarkStart w:id="47" w:name="_Toc79042876"/>
      <w:bookmarkStart w:id="48" w:name="_Toc79045407"/>
      <w:bookmarkStart w:id="49" w:name="_Toc78972864"/>
      <w:bookmarkStart w:id="50" w:name="_Toc79042319"/>
      <w:bookmarkStart w:id="51" w:name="_Toc79042751"/>
      <w:bookmarkStart w:id="52" w:name="_Toc79042811"/>
      <w:bookmarkStart w:id="53" w:name="_Toc79042877"/>
      <w:bookmarkStart w:id="54" w:name="_Toc79045408"/>
      <w:bookmarkStart w:id="55" w:name="_Toc78972865"/>
      <w:bookmarkStart w:id="56" w:name="_Toc79042320"/>
      <w:bookmarkStart w:id="57" w:name="_Toc79042752"/>
      <w:bookmarkStart w:id="58" w:name="_Toc79042812"/>
      <w:bookmarkStart w:id="59" w:name="_Toc79042878"/>
      <w:bookmarkStart w:id="60" w:name="_Toc79045409"/>
      <w:bookmarkStart w:id="61" w:name="_Toc78972866"/>
      <w:bookmarkStart w:id="62" w:name="_Toc79042321"/>
      <w:bookmarkStart w:id="63" w:name="_Toc79042753"/>
      <w:bookmarkStart w:id="64" w:name="_Toc79042813"/>
      <w:bookmarkStart w:id="65" w:name="_Toc79042879"/>
      <w:bookmarkStart w:id="66" w:name="_Toc79045410"/>
      <w:bookmarkStart w:id="67" w:name="_Toc78972867"/>
      <w:bookmarkStart w:id="68" w:name="_Toc79042322"/>
      <w:bookmarkStart w:id="69" w:name="_Toc79042754"/>
      <w:bookmarkStart w:id="70" w:name="_Toc79042814"/>
      <w:bookmarkStart w:id="71" w:name="_Toc79042880"/>
      <w:bookmarkStart w:id="72" w:name="_Toc79045411"/>
      <w:bookmarkStart w:id="73" w:name="_Toc78972871"/>
      <w:bookmarkStart w:id="74" w:name="_Toc79042326"/>
      <w:bookmarkStart w:id="75" w:name="_Toc79042758"/>
      <w:bookmarkStart w:id="76" w:name="_Toc79042818"/>
      <w:bookmarkStart w:id="77" w:name="_Toc79042884"/>
      <w:bookmarkStart w:id="78" w:name="_Toc79045415"/>
      <w:bookmarkStart w:id="79" w:name="_Toc78972872"/>
      <w:bookmarkStart w:id="80" w:name="_Toc79042327"/>
      <w:bookmarkStart w:id="81" w:name="_Toc79042759"/>
      <w:bookmarkStart w:id="82" w:name="_Toc79042819"/>
      <w:bookmarkStart w:id="83" w:name="_Toc79042885"/>
      <w:bookmarkStart w:id="84" w:name="_Toc79045416"/>
      <w:bookmarkStart w:id="85" w:name="_Toc78972873"/>
      <w:bookmarkStart w:id="86" w:name="_Toc79042328"/>
      <w:bookmarkStart w:id="87" w:name="_Toc79042760"/>
      <w:bookmarkStart w:id="88" w:name="_Toc79042820"/>
      <w:bookmarkStart w:id="89" w:name="_Toc79042886"/>
      <w:bookmarkStart w:id="90" w:name="_Toc79045417"/>
      <w:bookmarkStart w:id="91" w:name="_Toc78972875"/>
      <w:bookmarkStart w:id="92" w:name="_Toc79042330"/>
      <w:bookmarkStart w:id="93" w:name="_Toc79042762"/>
      <w:bookmarkStart w:id="94" w:name="_Toc79042822"/>
      <w:bookmarkStart w:id="95" w:name="_Toc79042888"/>
      <w:bookmarkStart w:id="96" w:name="_Toc79045419"/>
      <w:bookmarkStart w:id="97" w:name="_Toc78972878"/>
      <w:bookmarkStart w:id="98" w:name="_Toc79042333"/>
      <w:bookmarkStart w:id="99" w:name="_Toc79042765"/>
      <w:bookmarkStart w:id="100" w:name="_Toc79042825"/>
      <w:bookmarkStart w:id="101" w:name="_Toc79042891"/>
      <w:bookmarkStart w:id="102" w:name="_Toc79045422"/>
      <w:bookmarkStart w:id="103" w:name="_Toc78972879"/>
      <w:bookmarkStart w:id="104" w:name="_Toc79042334"/>
      <w:bookmarkStart w:id="105" w:name="_Toc79042766"/>
      <w:bookmarkStart w:id="106" w:name="_Toc79042826"/>
      <w:bookmarkStart w:id="107" w:name="_Toc79042892"/>
      <w:bookmarkStart w:id="108" w:name="_Toc79045423"/>
      <w:bookmarkStart w:id="109" w:name="_Sustainable__Aquaculture:"/>
      <w:bookmarkEnd w:id="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EF7BAFB" w14:textId="0E424EFA" w:rsidR="16006973" w:rsidRDefault="16006973" w:rsidP="16006973">
      <w:pPr>
        <w:spacing w:after="0" w:line="240" w:lineRule="auto"/>
      </w:pPr>
    </w:p>
    <w:p w14:paraId="76CD4BCD" w14:textId="0C77F777" w:rsidR="16006973" w:rsidRDefault="16006973" w:rsidP="16006973">
      <w:pPr>
        <w:spacing w:after="0" w:line="240" w:lineRule="auto"/>
      </w:pPr>
      <w:bookmarkStart w:id="110" w:name="_Toc34497053"/>
    </w:p>
    <w:p w14:paraId="67E6F806" w14:textId="54E79574" w:rsidR="00BE5B35" w:rsidRPr="004F35A0" w:rsidRDefault="21DC8A2A" w:rsidP="00BE5B35">
      <w:pPr>
        <w:pStyle w:val="Heading2"/>
      </w:pPr>
      <w:bookmarkStart w:id="111" w:name="_Toc2099763960"/>
      <w:bookmarkStart w:id="112" w:name="_Toc900806819"/>
      <w:bookmarkStart w:id="113" w:name="_Toc174960607"/>
      <w:r>
        <w:t>9</w:t>
      </w:r>
      <w:r w:rsidR="48E9852D">
        <w:t xml:space="preserve">. </w:t>
      </w:r>
      <w:r w:rsidR="4172CD91">
        <w:t>Monitoring</w:t>
      </w:r>
      <w:bookmarkEnd w:id="111"/>
    </w:p>
    <w:p w14:paraId="0FEE29BC" w14:textId="4D947CAB" w:rsidR="00BE5B35" w:rsidRPr="004F35A0" w:rsidRDefault="0D912679" w:rsidP="16006973">
      <w:r>
        <w:t>The Fast Track to Market project will be monitored regularly and may be audited.</w:t>
      </w:r>
    </w:p>
    <w:p w14:paraId="27440F05" w14:textId="2425A617" w:rsidR="00BE5B35" w:rsidRPr="004F35A0" w:rsidRDefault="0D912679" w:rsidP="16006973">
      <w:r>
        <w:t>EIT Food monitors projects to ensure that agreed targets are achieved during the 12 months’ timeframe. Monitoring will take place in two phases:</w:t>
      </w:r>
    </w:p>
    <w:p w14:paraId="35B34A63" w14:textId="77777777" w:rsidR="00BE5B35" w:rsidRPr="004F35A0" w:rsidRDefault="0D912679" w:rsidP="16006973">
      <w:pPr>
        <w:pStyle w:val="ListParagraph"/>
        <w:numPr>
          <w:ilvl w:val="0"/>
          <w:numId w:val="9"/>
        </w:numPr>
      </w:pPr>
      <w:r>
        <w:t xml:space="preserve">During the funding period  </w:t>
      </w:r>
    </w:p>
    <w:p w14:paraId="6042FB18" w14:textId="3B0F354E" w:rsidR="00BE5B35" w:rsidRPr="004F35A0" w:rsidRDefault="0D912679" w:rsidP="16006973">
      <w:r>
        <w:t>The aim is to understand the implementation progress, help the participant mitigate project risks and manage potential delays. In the case of serious underperformance, EIT Food may decide to re-orient the funding or stop an underperforming project.</w:t>
      </w:r>
    </w:p>
    <w:p w14:paraId="7316289F" w14:textId="77777777" w:rsidR="00BE5B35" w:rsidRPr="004F35A0" w:rsidRDefault="0D912679" w:rsidP="16006973">
      <w:pPr>
        <w:pStyle w:val="ListParagraph"/>
        <w:numPr>
          <w:ilvl w:val="0"/>
          <w:numId w:val="9"/>
        </w:numPr>
      </w:pPr>
      <w:r>
        <w:t xml:space="preserve">After the funding period  </w:t>
      </w:r>
    </w:p>
    <w:p w14:paraId="67F6473F" w14:textId="006F8AD6" w:rsidR="00BE5B35" w:rsidRPr="004F35A0" w:rsidRDefault="0D912679" w:rsidP="16006973">
      <w:r>
        <w:t>Additionally, EIT Food will monitor participants after their funding period to track long-term societal impact and ensure the ability of participants to execute the Revenue-based financial return agreement (RBF).</w:t>
      </w:r>
    </w:p>
    <w:p w14:paraId="61C8B49D" w14:textId="4E21CCAB" w:rsidR="00BE5B35" w:rsidRPr="004F35A0" w:rsidRDefault="0D912679" w:rsidP="16006973">
      <w:pPr>
        <w:rPr>
          <w:rFonts w:ascii="Calibri" w:eastAsia="Calibri" w:hAnsi="Calibri" w:cs="Calibri"/>
        </w:rPr>
      </w:pPr>
      <w:r w:rsidRPr="16006973">
        <w:rPr>
          <w:rFonts w:ascii="Calibri" w:eastAsia="Calibri" w:hAnsi="Calibri" w:cs="Calibri"/>
        </w:rPr>
        <w:lastRenderedPageBreak/>
        <w:t xml:space="preserve">All Activities selected for funding undergo continuous monitoring by EIT Food to ensure effective progress and implementation at each </w:t>
      </w:r>
      <w:r w:rsidR="00D45D64">
        <w:rPr>
          <w:rFonts w:ascii="Calibri" w:eastAsia="Calibri" w:hAnsi="Calibri" w:cs="Calibri"/>
        </w:rPr>
        <w:t>s</w:t>
      </w:r>
      <w:r w:rsidRPr="16006973">
        <w:rPr>
          <w:rFonts w:ascii="Calibri" w:eastAsia="Calibri" w:hAnsi="Calibri" w:cs="Calibri"/>
        </w:rPr>
        <w:t xml:space="preserve">tage in accordance with the Project Agreement, and to trigger payments according to the achievement of deliverables and KPIs. </w:t>
      </w:r>
    </w:p>
    <w:p w14:paraId="06952CD6" w14:textId="64118A77" w:rsidR="00BE5B35" w:rsidRPr="004F35A0" w:rsidRDefault="0D912679" w:rsidP="16006973">
      <w:pPr>
        <w:rPr>
          <w:rFonts w:ascii="Calibri" w:eastAsia="Calibri" w:hAnsi="Calibri" w:cs="Calibri"/>
        </w:rPr>
      </w:pPr>
      <w:r w:rsidRPr="16006973">
        <w:rPr>
          <w:rFonts w:ascii="Calibri" w:eastAsia="Calibri" w:hAnsi="Calibri" w:cs="Calibri"/>
        </w:rPr>
        <w:t xml:space="preserve">The monitoring will cover several aspects relating to the Activity implementation including, but not limited to achievement of deliverables and KPIs; risk management; financial management; quality assurance; progress against KPI achievement and impact delivery; communication and dissemination (in compliance with MGA Article 17); and progress towards commercialisation and exploitation of results. </w:t>
      </w:r>
    </w:p>
    <w:p w14:paraId="4DD4C972" w14:textId="5FDE0D9A" w:rsidR="00BE5B35" w:rsidRPr="004F35A0" w:rsidRDefault="4172CD91" w:rsidP="586DA79C">
      <w:pPr>
        <w:rPr>
          <w:rFonts w:ascii="Calibri" w:eastAsia="Calibri" w:hAnsi="Calibri" w:cs="Calibri"/>
        </w:rPr>
      </w:pPr>
      <w:r w:rsidRPr="586DA79C">
        <w:rPr>
          <w:rFonts w:ascii="Calibri" w:eastAsia="Calibri" w:hAnsi="Calibri" w:cs="Calibri"/>
        </w:rPr>
        <w:t xml:space="preserve">EIT Food </w:t>
      </w:r>
      <w:r w:rsidR="556A4156" w:rsidRPr="586DA79C">
        <w:rPr>
          <w:rFonts w:ascii="Calibri" w:eastAsia="Calibri" w:hAnsi="Calibri" w:cs="Calibri"/>
        </w:rPr>
        <w:t>will</w:t>
      </w:r>
      <w:r w:rsidRPr="586DA79C">
        <w:rPr>
          <w:rFonts w:ascii="Calibri" w:eastAsia="Calibri" w:hAnsi="Calibri" w:cs="Calibri"/>
        </w:rPr>
        <w:t xml:space="preserve"> request </w:t>
      </w:r>
      <w:r w:rsidR="2FF7148C" w:rsidRPr="586DA79C">
        <w:rPr>
          <w:rFonts w:ascii="Calibri" w:eastAsia="Calibri" w:hAnsi="Calibri" w:cs="Calibri"/>
        </w:rPr>
        <w:t>the</w:t>
      </w:r>
      <w:r w:rsidRPr="586DA79C">
        <w:rPr>
          <w:rFonts w:ascii="Calibri" w:eastAsia="Calibri" w:hAnsi="Calibri" w:cs="Calibri"/>
        </w:rPr>
        <w:t xml:space="preserve"> reporting of actual costs incurred with the subgrant, as well as regular reporting of KPIs and deliverables, together with the supporting documentation. </w:t>
      </w:r>
    </w:p>
    <w:p w14:paraId="16E4CF69" w14:textId="11518C06" w:rsidR="00BE5B35" w:rsidRPr="004F35A0" w:rsidRDefault="4172CD91" w:rsidP="16006973">
      <w:pPr>
        <w:rPr>
          <w:rFonts w:ascii="Calibri" w:eastAsia="Calibri" w:hAnsi="Calibri" w:cs="Calibri"/>
        </w:rPr>
      </w:pPr>
      <w:r w:rsidRPr="586DA79C">
        <w:rPr>
          <w:rFonts w:ascii="Calibri" w:eastAsia="Calibri" w:hAnsi="Calibri" w:cs="Calibri"/>
        </w:rPr>
        <w:t xml:space="preserve">In the case of under-performance, significant delay of implementation, misconduct, or any other reason jeopardizing the timely implementation of the Activity identified during the monitoring process, EIT Food reserves the right to discontinue or restructure the funding of the Activity at any point during the Activity duration. Furthermore, EIT Food will monitor all Activities up to 5 years after Activity </w:t>
      </w:r>
      <w:r w:rsidR="00744155" w:rsidRPr="586DA79C">
        <w:rPr>
          <w:rFonts w:ascii="Calibri" w:eastAsia="Calibri" w:hAnsi="Calibri" w:cs="Calibri"/>
        </w:rPr>
        <w:t>completion to</w:t>
      </w:r>
      <w:r w:rsidRPr="586DA79C">
        <w:rPr>
          <w:rFonts w:ascii="Calibri" w:eastAsia="Calibri" w:hAnsi="Calibri" w:cs="Calibri"/>
        </w:rPr>
        <w:t xml:space="preserve"> ensure the achievement of KPIs anticipated after Activity end.</w:t>
      </w:r>
    </w:p>
    <w:p w14:paraId="66418FB0" w14:textId="782921E5" w:rsidR="00BE5B35" w:rsidRPr="004F35A0" w:rsidRDefault="00BE5B35" w:rsidP="00BE5B35">
      <w:pPr>
        <w:pStyle w:val="Heading2"/>
      </w:pPr>
    </w:p>
    <w:p w14:paraId="7C877ABB" w14:textId="531E80CD" w:rsidR="00BE5B35" w:rsidRPr="004F35A0" w:rsidRDefault="4172CD91" w:rsidP="00BE5B35">
      <w:pPr>
        <w:pStyle w:val="Heading2"/>
      </w:pPr>
      <w:bookmarkStart w:id="114" w:name="_Toc2121264729"/>
      <w:r>
        <w:t xml:space="preserve">10. </w:t>
      </w:r>
      <w:r w:rsidR="6B70D4C0">
        <w:t>Support</w:t>
      </w:r>
      <w:bookmarkEnd w:id="112"/>
      <w:bookmarkEnd w:id="113"/>
      <w:bookmarkEnd w:id="114"/>
    </w:p>
    <w:p w14:paraId="747C409B" w14:textId="367658C5" w:rsidR="00BE5B35" w:rsidRPr="004F35A0" w:rsidRDefault="3F062756" w:rsidP="586DA79C">
      <w:r>
        <w:t xml:space="preserve"> </w:t>
      </w:r>
      <w:r w:rsidR="02EF361C">
        <w:t xml:space="preserve">For technical assistance please contact (add IT email). For any other questions about this call that has not been addressed in this guidelines or annexes, please contact </w:t>
      </w:r>
      <w:hyperlink r:id="rId36" w:history="1">
        <w:r w:rsidR="3BC3C401" w:rsidRPr="586DA79C">
          <w:rPr>
            <w:rStyle w:val="Hyperlink"/>
          </w:rPr>
          <w:t>fasttrackcall@eitfood.eu</w:t>
        </w:r>
      </w:hyperlink>
      <w:r w:rsidR="3BC3C401">
        <w:t>.</w:t>
      </w:r>
    </w:p>
    <w:p w14:paraId="5DC77112" w14:textId="2BC53096" w:rsidR="00BE5B35" w:rsidRPr="004F35A0" w:rsidRDefault="00BE5B35" w:rsidP="00BE5B35">
      <w:r w:rsidRPr="1D1CC546">
        <w:t xml:space="preserve">Please visit </w:t>
      </w:r>
      <w:hyperlink r:id="rId37">
        <w:r w:rsidRPr="1D1CC546">
          <w:rPr>
            <w:rStyle w:val="Hyperlink"/>
          </w:rPr>
          <w:t>our website</w:t>
        </w:r>
      </w:hyperlink>
      <w:r w:rsidRPr="1D1CC546">
        <w:t xml:space="preserve"> for information about upcoming events to support your application.  You will also find our list of Frequently Asked Questions.  </w:t>
      </w:r>
    </w:p>
    <w:p w14:paraId="381EE1D8" w14:textId="77777777" w:rsidR="004570D1" w:rsidRPr="004F35A0" w:rsidRDefault="004570D1" w:rsidP="00AC65DE">
      <w:pPr>
        <w:rPr>
          <w:rFonts w:cstheme="minorHAnsi"/>
        </w:rPr>
      </w:pPr>
      <w:bookmarkStart w:id="115" w:name="_Hlk79656366"/>
      <w:bookmarkEnd w:id="110"/>
    </w:p>
    <w:p w14:paraId="65B8C43B" w14:textId="77777777" w:rsidR="0000793F" w:rsidRPr="004F35A0" w:rsidRDefault="0000793F">
      <w:pPr>
        <w:rPr>
          <w:rFonts w:asciiTheme="majorHAnsi" w:eastAsiaTheme="majorEastAsia" w:hAnsiTheme="majorHAnsi" w:cstheme="majorBidi"/>
          <w:color w:val="2F5496" w:themeColor="accent1" w:themeShade="BF"/>
          <w:sz w:val="32"/>
          <w:szCs w:val="32"/>
        </w:rPr>
      </w:pPr>
      <w:r w:rsidRPr="004F35A0">
        <w:br w:type="page"/>
      </w:r>
    </w:p>
    <w:p w14:paraId="3A39E632" w14:textId="434EA247" w:rsidR="004570D1" w:rsidRPr="004F35A0" w:rsidRDefault="749B6B55" w:rsidP="004570D1">
      <w:pPr>
        <w:pStyle w:val="Heading1"/>
      </w:pPr>
      <w:bookmarkStart w:id="116" w:name="_Toc174960608"/>
      <w:bookmarkStart w:id="117" w:name="_Toc1823506325"/>
      <w:r>
        <w:lastRenderedPageBreak/>
        <w:t>ANNEX 1</w:t>
      </w:r>
      <w:r w:rsidR="74A43227">
        <w:t>:</w:t>
      </w:r>
      <w:r>
        <w:t xml:space="preserve"> Eligibility</w:t>
      </w:r>
      <w:bookmarkEnd w:id="116"/>
      <w:bookmarkEnd w:id="117"/>
    </w:p>
    <w:p w14:paraId="0D9D8218" w14:textId="77777777" w:rsidR="004570D1" w:rsidRPr="004F35A0" w:rsidRDefault="004570D1" w:rsidP="004570D1">
      <w:pPr>
        <w:spacing w:line="257" w:lineRule="auto"/>
        <w:jc w:val="both"/>
        <w:rPr>
          <w:rFonts w:ascii="Calibri" w:eastAsia="Calibri" w:hAnsi="Calibri" w:cs="Calibri"/>
          <w:color w:val="000000" w:themeColor="text1"/>
        </w:rPr>
      </w:pPr>
    </w:p>
    <w:p w14:paraId="5A40D9B7" w14:textId="0268E81E" w:rsidR="004570D1" w:rsidRPr="004F35A0" w:rsidRDefault="004570D1" w:rsidP="004570D1">
      <w:pPr>
        <w:spacing w:line="257" w:lineRule="auto"/>
        <w:jc w:val="both"/>
        <w:rPr>
          <w:rFonts w:ascii="Calibri" w:eastAsia="Calibri" w:hAnsi="Calibri" w:cs="Calibri"/>
          <w:color w:val="000000" w:themeColor="text1"/>
        </w:rPr>
      </w:pPr>
      <w:r w:rsidRPr="004F35A0">
        <w:rPr>
          <w:rFonts w:ascii="Calibri" w:eastAsia="Calibri" w:hAnsi="Calibri" w:cs="Calibri"/>
          <w:color w:val="000000" w:themeColor="text1"/>
        </w:rPr>
        <w:t xml:space="preserve">Please Note: </w:t>
      </w:r>
    </w:p>
    <w:p w14:paraId="04ED1B40" w14:textId="0F0F81FD" w:rsidR="004570D1" w:rsidRPr="004F35A0" w:rsidRDefault="749B6B55" w:rsidP="004570D1">
      <w:pPr>
        <w:spacing w:line="257" w:lineRule="auto"/>
        <w:jc w:val="both"/>
        <w:rPr>
          <w:rFonts w:ascii="Calibri" w:eastAsia="Calibri" w:hAnsi="Calibri" w:cs="Calibri"/>
          <w:color w:val="000000" w:themeColor="text1"/>
        </w:rPr>
      </w:pPr>
      <w:r w:rsidRPr="586DA79C">
        <w:rPr>
          <w:rFonts w:ascii="Calibri" w:eastAsia="Calibri" w:hAnsi="Calibri" w:cs="Calibri"/>
          <w:color w:val="000000" w:themeColor="text1"/>
        </w:rPr>
        <w:t xml:space="preserve">1. Failing any of the above </w:t>
      </w:r>
      <w:r w:rsidR="6D63226B" w:rsidRPr="586DA79C">
        <w:rPr>
          <w:rFonts w:ascii="Calibri" w:eastAsia="Calibri" w:hAnsi="Calibri" w:cs="Calibri"/>
          <w:color w:val="000000" w:themeColor="text1"/>
        </w:rPr>
        <w:t xml:space="preserve">call specific </w:t>
      </w:r>
      <w:r w:rsidRPr="586DA79C">
        <w:rPr>
          <w:rFonts w:ascii="Calibri" w:eastAsia="Calibri" w:hAnsi="Calibri" w:cs="Calibri"/>
          <w:color w:val="000000" w:themeColor="text1"/>
        </w:rPr>
        <w:t xml:space="preserve">criteria will make your application ineligible. If an applicant is ineligible, the participant will be informed. </w:t>
      </w:r>
    </w:p>
    <w:p w14:paraId="173B0A98" w14:textId="6E293B17" w:rsidR="004570D1" w:rsidRDefault="749B6B55" w:rsidP="004570D1">
      <w:pPr>
        <w:spacing w:line="257" w:lineRule="auto"/>
        <w:jc w:val="both"/>
        <w:rPr>
          <w:rFonts w:ascii="Calibri" w:eastAsia="Calibri" w:hAnsi="Calibri" w:cs="Calibri"/>
          <w:color w:val="000000" w:themeColor="text1"/>
        </w:rPr>
      </w:pPr>
      <w:r w:rsidRPr="586DA79C">
        <w:rPr>
          <w:rFonts w:ascii="Calibri" w:eastAsia="Calibri" w:hAnsi="Calibri" w:cs="Calibri"/>
          <w:color w:val="000000" w:themeColor="text1"/>
        </w:rPr>
        <w:t xml:space="preserve">2. </w:t>
      </w:r>
      <w:hyperlink r:id="rId38" w:history="1">
        <w:r w:rsidRPr="586DA79C">
          <w:rPr>
            <w:rStyle w:val="Hyperlink"/>
            <w:rFonts w:ascii="Calibri" w:eastAsia="Calibri" w:hAnsi="Calibri" w:cs="Calibri"/>
          </w:rPr>
          <w:t>According to EU policies and measures</w:t>
        </w:r>
      </w:hyperlink>
      <w:r w:rsidRPr="586DA79C">
        <w:rPr>
          <w:rFonts w:ascii="Calibri" w:eastAsia="Calibri" w:hAnsi="Calibri" w:cs="Calibri"/>
          <w:color w:val="000000" w:themeColor="text1"/>
        </w:rPr>
        <w:t xml:space="preserve">, Russian entities will not be authorised to participate in any new grant under the EU Research and Innovation programmes. This ban applies not only to their potential participation as beneficiaries, but to their potential participation in any kind of role: beneficiaries, linked third parties/affiliated entities, subcontractors, in-kind contributors, international partners/associated partners, and third parties receiving financial support. Find the full statement from the European Commission here. </w:t>
      </w:r>
    </w:p>
    <w:p w14:paraId="4F12205E" w14:textId="77777777" w:rsidR="004570D1" w:rsidRPr="004F35A0" w:rsidRDefault="749B6B55" w:rsidP="004570D1">
      <w:pPr>
        <w:spacing w:line="257" w:lineRule="auto"/>
        <w:jc w:val="both"/>
        <w:rPr>
          <w:rFonts w:ascii="Calibri" w:eastAsia="Calibri" w:hAnsi="Calibri" w:cs="Calibri"/>
          <w:color w:val="000000" w:themeColor="text1"/>
        </w:rPr>
      </w:pPr>
      <w:r w:rsidRPr="586DA79C">
        <w:rPr>
          <w:rFonts w:ascii="Calibri" w:eastAsia="Calibri" w:hAnsi="Calibri" w:cs="Calibri"/>
          <w:color w:val="000000" w:themeColor="text1"/>
        </w:rPr>
        <w:t xml:space="preserve">3. Pursuant to Article 2 (2) of the </w:t>
      </w:r>
      <w:hyperlink r:id="rId39" w:history="1">
        <w:r w:rsidRPr="586DA79C">
          <w:rPr>
            <w:rStyle w:val="Hyperlink"/>
            <w:rFonts w:ascii="Calibri" w:eastAsia="Calibri" w:hAnsi="Calibri" w:cs="Calibri"/>
          </w:rPr>
          <w:t>Decision 2022/2506</w:t>
        </w:r>
      </w:hyperlink>
      <w:r w:rsidRPr="586DA79C">
        <w:rPr>
          <w:rFonts w:ascii="Calibri" w:eastAsia="Calibri" w:hAnsi="Calibri" w:cs="Calibri"/>
          <w:color w:val="000000" w:themeColor="text1"/>
        </w:rPr>
        <w:t xml:space="preserve"> of 15 December 2022 on measures for the protection of the Union budget against breaches of the principles of the rule of law in Hungary </w:t>
      </w:r>
      <w:r w:rsidRPr="586DA79C">
        <w:rPr>
          <w:rFonts w:ascii="Calibri" w:eastAsia="Calibri" w:hAnsi="Calibri" w:cs="Calibri"/>
          <w:i/>
          <w:iCs/>
          <w:color w:val="000000" w:themeColor="text1"/>
        </w:rPr>
        <w:t xml:space="preserve">where the Commission implements the Union budget in direct or indirect management pursuant to of Article 62(1) points (a) and (c), of Regulation (EU, Euratom) 2018/1046, </w:t>
      </w:r>
      <w:r w:rsidRPr="586DA79C">
        <w:rPr>
          <w:rFonts w:ascii="Calibri" w:eastAsia="Calibri" w:hAnsi="Calibri" w:cs="Calibri"/>
          <w:b/>
          <w:bCs/>
          <w:i/>
          <w:iCs/>
          <w:color w:val="000000" w:themeColor="text1"/>
        </w:rPr>
        <w:t>no legal commitments shall be entered into with any public interest trust established on the basis of the Hungarian Act IX of 2021 or any entity maintained by such a public interest trust</w:t>
      </w:r>
      <w:r w:rsidRPr="586DA79C">
        <w:rPr>
          <w:rFonts w:ascii="Calibri" w:eastAsia="Calibri" w:hAnsi="Calibri" w:cs="Calibri"/>
          <w:i/>
          <w:iCs/>
          <w:color w:val="000000" w:themeColor="text1"/>
        </w:rPr>
        <w:t xml:space="preserve">. </w:t>
      </w:r>
      <w:r w:rsidRPr="586DA79C">
        <w:rPr>
          <w:rFonts w:ascii="Calibri" w:eastAsia="Calibri" w:hAnsi="Calibri" w:cs="Calibri"/>
          <w:color w:val="000000" w:themeColor="text1"/>
        </w:rPr>
        <w:t>This prohibition applies to financial support to third parties (sub-grants and prizes), hence the proposal of any entity or group of entities where a Participant is included in the list of public interest trusts shall be considered as not eligible.</w:t>
      </w:r>
    </w:p>
    <w:p w14:paraId="05708401" w14:textId="77777777" w:rsidR="004570D1" w:rsidRDefault="004570D1" w:rsidP="004570D1">
      <w:pPr>
        <w:spacing w:line="257" w:lineRule="auto"/>
        <w:jc w:val="both"/>
        <w:rPr>
          <w:rFonts w:ascii="Calibri" w:eastAsia="Calibri" w:hAnsi="Calibri" w:cs="Calibri"/>
          <w:color w:val="000000" w:themeColor="text1"/>
        </w:rPr>
      </w:pPr>
      <w:r w:rsidRPr="1D1CC546">
        <w:rPr>
          <w:rFonts w:ascii="Calibri" w:eastAsia="Calibri" w:hAnsi="Calibri" w:cs="Calibri"/>
          <w:color w:val="000000" w:themeColor="text1"/>
        </w:rPr>
        <w:t xml:space="preserve">4. Applicants will be deemed ineligible if: </w:t>
      </w:r>
    </w:p>
    <w:p w14:paraId="4884C346" w14:textId="77777777" w:rsidR="004570D1" w:rsidRPr="004F35A0" w:rsidRDefault="004570D1" w:rsidP="004570D1">
      <w:pPr>
        <w:spacing w:line="257" w:lineRule="auto"/>
        <w:jc w:val="both"/>
        <w:rPr>
          <w:rFonts w:ascii="Calibri" w:eastAsia="Calibri" w:hAnsi="Calibri" w:cs="Calibri"/>
          <w:color w:val="000000" w:themeColor="text1"/>
        </w:rPr>
      </w:pPr>
      <w:r w:rsidRPr="004F35A0">
        <w:rPr>
          <w:rFonts w:ascii="Calibri" w:eastAsia="Calibri" w:hAnsi="Calibri" w:cs="Calibri"/>
          <w:color w:val="000000" w:themeColor="text1"/>
        </w:rPr>
        <w:t>a.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28443504" w14:textId="77777777" w:rsidR="004570D1" w:rsidRDefault="004570D1" w:rsidP="004570D1">
      <w:pPr>
        <w:spacing w:line="257" w:lineRule="auto"/>
        <w:jc w:val="both"/>
        <w:rPr>
          <w:rFonts w:ascii="Calibri" w:eastAsia="Calibri" w:hAnsi="Calibri" w:cs="Calibri"/>
          <w:color w:val="000000" w:themeColor="text1"/>
        </w:rPr>
      </w:pPr>
      <w:r w:rsidRPr="1D1CC546">
        <w:rPr>
          <w:rFonts w:ascii="Calibri" w:eastAsia="Calibri" w:hAnsi="Calibri" w:cs="Calibri"/>
          <w:color w:val="000000" w:themeColor="text1"/>
        </w:rPr>
        <w:t xml:space="preserve"> b. it has been established by a final judgment or a final administrative decision that the organisation is in breach of its obligations relating to the payment of taxes or social security contributions in accordance with the applicable law;</w:t>
      </w:r>
    </w:p>
    <w:p w14:paraId="5BB29319" w14:textId="77777777" w:rsidR="004570D1" w:rsidRPr="004F35A0" w:rsidRDefault="004570D1" w:rsidP="004570D1">
      <w:pPr>
        <w:spacing w:line="257" w:lineRule="auto"/>
        <w:jc w:val="both"/>
        <w:rPr>
          <w:rFonts w:ascii="Calibri" w:eastAsia="Calibri" w:hAnsi="Calibri" w:cs="Calibri"/>
          <w:color w:val="000000" w:themeColor="text1"/>
        </w:rPr>
      </w:pPr>
      <w:r w:rsidRPr="004F35A0">
        <w:rPr>
          <w:rFonts w:ascii="Calibri" w:eastAsia="Calibri" w:hAnsi="Calibri" w:cs="Calibri"/>
          <w:color w:val="000000" w:themeColor="text1"/>
        </w:rPr>
        <w:t xml:space="preserve"> c. it has been established by a final judgment or a final administrative decision that the organisation is guilty of grave professional misconduct by having violated applicable laws or regulations or ethical standards of the profession to which the organisation belongs, or by having engaged in any wrongful conduct which has an impact on its professional credibility where such conduct denotes a wrongful intent or gross negligence; </w:t>
      </w:r>
    </w:p>
    <w:p w14:paraId="6CC20C35" w14:textId="77777777" w:rsidR="004570D1" w:rsidRDefault="004570D1" w:rsidP="004570D1">
      <w:pPr>
        <w:spacing w:line="257" w:lineRule="auto"/>
        <w:jc w:val="both"/>
        <w:rPr>
          <w:rFonts w:ascii="Calibri" w:eastAsia="Calibri" w:hAnsi="Calibri" w:cs="Calibri"/>
          <w:color w:val="000000" w:themeColor="text1"/>
        </w:rPr>
      </w:pPr>
      <w:r w:rsidRPr="1D1CC546">
        <w:rPr>
          <w:rFonts w:ascii="Calibri" w:eastAsia="Calibri" w:hAnsi="Calibri" w:cs="Calibri"/>
          <w:color w:val="000000" w:themeColor="text1"/>
        </w:rPr>
        <w:t xml:space="preserve">d. is found to be attempting to influence the decision-making process of the call during the process; </w:t>
      </w:r>
    </w:p>
    <w:p w14:paraId="6B5B3D32" w14:textId="4F8F041F" w:rsidR="004570D1" w:rsidRDefault="004570D1" w:rsidP="004570D1">
      <w:pPr>
        <w:spacing w:line="257" w:lineRule="auto"/>
        <w:jc w:val="both"/>
        <w:rPr>
          <w:rFonts w:ascii="Calibri" w:eastAsia="Calibri" w:hAnsi="Calibri" w:cs="Calibri"/>
          <w:color w:val="000000" w:themeColor="text1"/>
        </w:rPr>
      </w:pPr>
      <w:r w:rsidRPr="1D1CC546">
        <w:rPr>
          <w:rFonts w:ascii="Calibri" w:eastAsia="Calibri" w:hAnsi="Calibri" w:cs="Calibri"/>
          <w:color w:val="000000" w:themeColor="text1"/>
        </w:rPr>
        <w:t xml:space="preserve">e. attempting to obtain confidential information that may confer upon </w:t>
      </w:r>
      <w:r w:rsidR="00F10B53" w:rsidRPr="1D1CC546">
        <w:rPr>
          <w:rFonts w:ascii="Calibri" w:eastAsia="Calibri" w:hAnsi="Calibri" w:cs="Calibri"/>
          <w:color w:val="000000" w:themeColor="text1"/>
        </w:rPr>
        <w:t>its</w:t>
      </w:r>
      <w:r w:rsidRPr="1D1CC546">
        <w:rPr>
          <w:rFonts w:ascii="Calibri" w:eastAsia="Calibri" w:hAnsi="Calibri" w:cs="Calibri"/>
          <w:color w:val="000000" w:themeColor="text1"/>
        </w:rPr>
        <w:t xml:space="preserve"> undue advantages in the call process;</w:t>
      </w:r>
    </w:p>
    <w:p w14:paraId="26478F64" w14:textId="2C8068F6" w:rsidR="004570D1" w:rsidRDefault="004570D1" w:rsidP="004570D1">
      <w:pPr>
        <w:spacing w:line="257" w:lineRule="auto"/>
        <w:jc w:val="both"/>
        <w:rPr>
          <w:rFonts w:ascii="Calibri" w:eastAsia="Calibri" w:hAnsi="Calibri" w:cs="Calibri"/>
          <w:color w:val="000000" w:themeColor="text1"/>
        </w:rPr>
      </w:pPr>
      <w:r w:rsidRPr="1D1CC546">
        <w:rPr>
          <w:rFonts w:ascii="Calibri" w:eastAsia="Calibri" w:hAnsi="Calibri" w:cs="Calibri"/>
          <w:color w:val="000000" w:themeColor="text1"/>
        </w:rPr>
        <w:t xml:space="preserve"> f. it has been established by a final judgment that the organisation is guilty of fraud, corruption or money laundering.</w:t>
      </w:r>
    </w:p>
    <w:bookmarkEnd w:id="0"/>
    <w:bookmarkEnd w:id="115"/>
    <w:p w14:paraId="6E2B0A4D" w14:textId="46C54059" w:rsidR="00F26EF9" w:rsidRDefault="00F26EF9" w:rsidP="2EBBAFFF">
      <w:pPr>
        <w:spacing w:after="120" w:line="240" w:lineRule="auto"/>
        <w:rPr>
          <w:rFonts w:ascii="Calibri" w:eastAsia="Calibri" w:hAnsi="Calibri" w:cs="Calibri"/>
          <w:color w:val="000000" w:themeColor="text1"/>
        </w:rPr>
      </w:pPr>
    </w:p>
    <w:p w14:paraId="2C925BD2" w14:textId="77777777" w:rsidR="008F5ACE" w:rsidRDefault="008F5ACE" w:rsidP="2EBBAFFF">
      <w:pPr>
        <w:spacing w:after="120" w:line="240" w:lineRule="auto"/>
        <w:rPr>
          <w:rFonts w:ascii="Calibri" w:eastAsia="Calibri" w:hAnsi="Calibri" w:cs="Calibri"/>
          <w:color w:val="000000" w:themeColor="text1"/>
        </w:rPr>
      </w:pPr>
    </w:p>
    <w:p w14:paraId="7BB2CBB9" w14:textId="77777777" w:rsidR="008F5ACE" w:rsidRDefault="008F5ACE" w:rsidP="2EBBAFFF">
      <w:pPr>
        <w:spacing w:after="120" w:line="240" w:lineRule="auto"/>
        <w:rPr>
          <w:rFonts w:ascii="Calibri" w:eastAsia="Calibri" w:hAnsi="Calibri" w:cs="Calibri"/>
          <w:color w:val="000000" w:themeColor="text1"/>
        </w:rPr>
      </w:pPr>
    </w:p>
    <w:p w14:paraId="173C95BA" w14:textId="77777777" w:rsidR="008F5ACE" w:rsidRDefault="008F5ACE" w:rsidP="2EBBAFFF">
      <w:pPr>
        <w:spacing w:after="120" w:line="240" w:lineRule="auto"/>
        <w:rPr>
          <w:rFonts w:ascii="Calibri" w:eastAsia="Calibri" w:hAnsi="Calibri" w:cs="Calibri"/>
          <w:color w:val="000000" w:themeColor="text1"/>
        </w:rPr>
      </w:pPr>
    </w:p>
    <w:p w14:paraId="235814B6" w14:textId="77777777" w:rsidR="008F5ACE" w:rsidRDefault="008F5ACE" w:rsidP="2EBBAFFF">
      <w:pPr>
        <w:spacing w:after="120" w:line="240" w:lineRule="auto"/>
        <w:rPr>
          <w:rFonts w:ascii="Calibri" w:eastAsia="Calibri" w:hAnsi="Calibri" w:cs="Calibri"/>
          <w:color w:val="000000" w:themeColor="text1"/>
        </w:rPr>
      </w:pPr>
    </w:p>
    <w:p w14:paraId="1FDA64B9" w14:textId="77777777" w:rsidR="008F5ACE" w:rsidRDefault="008F5ACE" w:rsidP="2EBBAFFF">
      <w:pPr>
        <w:spacing w:after="120" w:line="240" w:lineRule="auto"/>
        <w:rPr>
          <w:rFonts w:ascii="Calibri" w:eastAsia="Calibri" w:hAnsi="Calibri" w:cs="Calibri"/>
          <w:color w:val="000000" w:themeColor="text1"/>
        </w:rPr>
      </w:pPr>
    </w:p>
    <w:p w14:paraId="5ECBAD53" w14:textId="2B462171" w:rsidR="008F5ACE" w:rsidRPr="004F35A0" w:rsidRDefault="008F5ACE" w:rsidP="008F5ACE">
      <w:pPr>
        <w:pStyle w:val="Heading1"/>
      </w:pPr>
      <w:bookmarkStart w:id="118" w:name="_Toc688301139"/>
      <w:r>
        <w:lastRenderedPageBreak/>
        <w:t>ANNEX 2: Success Sharing Mechanism</w:t>
      </w:r>
      <w:bookmarkEnd w:id="118"/>
    </w:p>
    <w:p w14:paraId="7D4CE39C" w14:textId="52028968" w:rsidR="008F5ACE" w:rsidRPr="001B45F2" w:rsidRDefault="008F5ACE" w:rsidP="008F5ACE">
      <w:pPr>
        <w:rPr>
          <w:rFonts w:cstheme="minorHAnsi"/>
          <w:b/>
          <w:sz w:val="24"/>
          <w:szCs w:val="24"/>
        </w:rPr>
      </w:pPr>
      <w:r w:rsidRPr="008F5ACE">
        <w:rPr>
          <w:b/>
          <w:sz w:val="24"/>
          <w:szCs w:val="24"/>
        </w:rPr>
        <w:t xml:space="preserve">Please refer to the Fast Track to Market website for a </w:t>
      </w:r>
      <w:r>
        <w:rPr>
          <w:b/>
          <w:sz w:val="24"/>
          <w:szCs w:val="24"/>
        </w:rPr>
        <w:t xml:space="preserve">visual aid </w:t>
      </w:r>
      <w:r w:rsidRPr="008F5ACE">
        <w:rPr>
          <w:b/>
          <w:sz w:val="24"/>
          <w:szCs w:val="24"/>
        </w:rPr>
        <w:t>summary of this secion.</w:t>
      </w:r>
    </w:p>
    <w:p w14:paraId="09C4DD1D" w14:textId="77777777" w:rsidR="008F5ACE" w:rsidRDefault="008F5ACE" w:rsidP="008F5ACE">
      <w:r>
        <w:t xml:space="preserve">Selected participants will begin their reward payments directly after the anticipated completion date, with each payment amount equalling a </w:t>
      </w:r>
      <w:r w:rsidRPr="2EBBAFFF">
        <w:rPr>
          <w:b/>
          <w:bCs/>
        </w:rPr>
        <w:t>negotiated percentage of the company’s top-line revenues</w:t>
      </w:r>
      <w:r>
        <w:t xml:space="preserve"> of the 6 preceding months. These reward payments will be executed </w:t>
      </w:r>
      <w:r w:rsidRPr="2EBBAFFF">
        <w:rPr>
          <w:b/>
          <w:bCs/>
        </w:rPr>
        <w:t>every month</w:t>
      </w:r>
      <w:r>
        <w:t xml:space="preserve">, based on the calculation of the company’s revenues which will take place every 6 months. </w:t>
      </w:r>
    </w:p>
    <w:p w14:paraId="6063590E" w14:textId="77777777" w:rsidR="008F5ACE" w:rsidRDefault="008F5ACE" w:rsidP="008F5ACE">
      <w:r>
        <w:t xml:space="preserve">The RBF will be in effect for a period of between 1 to 5 years. Participants will continue with their reward payments until a </w:t>
      </w:r>
      <w:r w:rsidRPr="2EBBAFFF">
        <w:rPr>
          <w:b/>
          <w:bCs/>
        </w:rPr>
        <w:t>Maximum Threshold</w:t>
      </w:r>
      <w:r>
        <w:t xml:space="preserve"> is reached, which increases for each year that the RBF</w:t>
      </w:r>
      <w:r w:rsidRPr="2EBBAFFF">
        <w:rPr>
          <w:i/>
          <w:iCs/>
        </w:rPr>
        <w:t xml:space="preserve"> </w:t>
      </w:r>
      <w:r>
        <w:t xml:space="preserve">is in place. The Maximum Threshold is equal to the </w:t>
      </w:r>
      <w:r w:rsidRPr="2EBBAFFF">
        <w:rPr>
          <w:b/>
          <w:bCs/>
        </w:rPr>
        <w:t>total project award</w:t>
      </w:r>
      <w:r>
        <w:t xml:space="preserve"> </w:t>
      </w:r>
      <w:r w:rsidRPr="2EBBAFFF">
        <w:rPr>
          <w:b/>
          <w:bCs/>
          <w:i/>
          <w:iCs/>
        </w:rPr>
        <w:t>plus</w:t>
      </w:r>
      <w:r w:rsidRPr="2EBBAFFF">
        <w:rPr>
          <w:b/>
          <w:bCs/>
        </w:rPr>
        <w:t xml:space="preserve"> a </w:t>
      </w:r>
      <w:r w:rsidRPr="00054D61">
        <w:rPr>
          <w:b/>
          <w:bCs/>
        </w:rPr>
        <w:t>premium</w:t>
      </w:r>
      <w:r w:rsidRPr="00054D61">
        <w:t xml:space="preserve"> </w:t>
      </w:r>
      <w:r w:rsidRPr="00054D61">
        <w:rPr>
          <w:b/>
          <w:bCs/>
        </w:rPr>
        <w:t>of 8,50 per cent per</w:t>
      </w:r>
      <w:r w:rsidRPr="2EBBAFFF">
        <w:rPr>
          <w:b/>
          <w:bCs/>
        </w:rPr>
        <w:t xml:space="preserve"> year</w:t>
      </w:r>
      <w:r>
        <w:t xml:space="preserve"> in which the RBF</w:t>
      </w:r>
      <w:r w:rsidRPr="2EBBAFFF">
        <w:rPr>
          <w:i/>
          <w:iCs/>
        </w:rPr>
        <w:t xml:space="preserve"> </w:t>
      </w:r>
      <w:r>
        <w:t xml:space="preserve">is still in place. </w:t>
      </w:r>
    </w:p>
    <w:p w14:paraId="5E5C5EC7" w14:textId="77777777" w:rsidR="008F5ACE" w:rsidRDefault="008F5ACE" w:rsidP="008F5ACE">
      <w:r>
        <w:t xml:space="preserve">There are no penalties should participants choose to pay an amount higher than the negotiated percentage of their company’s top-line revenues. Therefore, companies have the ability to </w:t>
      </w:r>
      <w:r w:rsidRPr="2EBBAFFF">
        <w:rPr>
          <w:b/>
          <w:bCs/>
        </w:rPr>
        <w:t xml:space="preserve">reduce their obligation </w:t>
      </w:r>
      <w:r>
        <w:t xml:space="preserve">by increasing the size of their reward payments earlier. </w:t>
      </w:r>
    </w:p>
    <w:p w14:paraId="18ACD954" w14:textId="77777777" w:rsidR="008F5ACE" w:rsidRDefault="008F5ACE" w:rsidP="008F5ACE">
      <w:r w:rsidRPr="2EBBAFFF">
        <w:rPr>
          <w:b/>
          <w:bCs/>
        </w:rPr>
        <w:t>REMINDER:</w:t>
      </w:r>
      <w:r>
        <w:t xml:space="preserve"> Reward payments are not solely linked to the sales generated from the product or service being launched on the market via the Fast Track to Market programme, but instead, linked to the company’s overall revenues.</w:t>
      </w:r>
    </w:p>
    <w:p w14:paraId="3A1A279C" w14:textId="77777777" w:rsidR="008F5ACE" w:rsidRPr="001C3738" w:rsidRDefault="008F5ACE" w:rsidP="008F5ACE">
      <w:pPr>
        <w:pStyle w:val="Body"/>
        <w:rPr>
          <w:sz w:val="28"/>
          <w:szCs w:val="28"/>
        </w:rPr>
      </w:pPr>
      <w:r w:rsidRPr="00DB3958">
        <w:rPr>
          <w:sz w:val="28"/>
          <w:szCs w:val="28"/>
        </w:rPr>
        <w:t xml:space="preserve">Summary of Terms  </w:t>
      </w:r>
    </w:p>
    <w:tbl>
      <w:tblPr>
        <w:tblStyle w:val="ListTable1Light-Accent2"/>
        <w:tblW w:w="10348" w:type="dxa"/>
        <w:tblLook w:val="04A0" w:firstRow="1" w:lastRow="0" w:firstColumn="1" w:lastColumn="0" w:noHBand="0" w:noVBand="1"/>
      </w:tblPr>
      <w:tblGrid>
        <w:gridCol w:w="271"/>
        <w:gridCol w:w="271"/>
        <w:gridCol w:w="1159"/>
        <w:gridCol w:w="8647"/>
      </w:tblGrid>
      <w:tr w:rsidR="008F5ACE" w:rsidRPr="004F35A0" w14:paraId="4F884DE1" w14:textId="77777777" w:rsidTr="007F1BAD">
        <w:trPr>
          <w:gridAfter w:val="2"/>
          <w:cnfStyle w:val="100000000000" w:firstRow="1" w:lastRow="0" w:firstColumn="0" w:lastColumn="0" w:oddVBand="0" w:evenVBand="0" w:oddHBand="0" w:evenHBand="0" w:firstRowFirstColumn="0" w:firstRowLastColumn="0" w:lastRowFirstColumn="0" w:lastRowLastColumn="0"/>
          <w:wAfter w:w="9806" w:type="dxa"/>
          <w:trHeight w:val="282"/>
        </w:trPr>
        <w:tc>
          <w:tcPr>
            <w:cnfStyle w:val="001000000000" w:firstRow="0" w:lastRow="0" w:firstColumn="1" w:lastColumn="0" w:oddVBand="0" w:evenVBand="0" w:oddHBand="0" w:evenHBand="0" w:firstRowFirstColumn="0" w:firstRowLastColumn="0" w:lastRowFirstColumn="0" w:lastRowLastColumn="0"/>
            <w:tcW w:w="271" w:type="dxa"/>
          </w:tcPr>
          <w:p w14:paraId="186E5913" w14:textId="77777777" w:rsidR="008F5ACE" w:rsidRPr="001B45F2" w:rsidRDefault="008F5ACE" w:rsidP="007F1BAD">
            <w:pPr>
              <w:jc w:val="center"/>
              <w:rPr>
                <w:rFonts w:cstheme="minorHAnsi"/>
                <w:lang w:val="en-GB"/>
              </w:rPr>
            </w:pPr>
          </w:p>
        </w:tc>
        <w:tc>
          <w:tcPr>
            <w:tcW w:w="271" w:type="dxa"/>
          </w:tcPr>
          <w:p w14:paraId="5C5BF9BA" w14:textId="77777777" w:rsidR="008F5ACE" w:rsidRPr="00776FB1" w:rsidRDefault="008F5ACE" w:rsidP="007F1BAD">
            <w:pPr>
              <w:jc w:val="center"/>
              <w:cnfStyle w:val="100000000000" w:firstRow="1" w:lastRow="0" w:firstColumn="0" w:lastColumn="0" w:oddVBand="0" w:evenVBand="0" w:oddHBand="0" w:evenHBand="0" w:firstRowFirstColumn="0" w:firstRowLastColumn="0" w:lastRowFirstColumn="0" w:lastRowLastColumn="0"/>
              <w:rPr>
                <w:rFonts w:cstheme="minorHAnsi"/>
                <w:i/>
                <w:iCs/>
                <w:lang w:val="en-GB"/>
              </w:rPr>
            </w:pPr>
          </w:p>
        </w:tc>
      </w:tr>
      <w:tr w:rsidR="008F5ACE" w:rsidRPr="004F35A0" w14:paraId="5DD6C0D0" w14:textId="77777777" w:rsidTr="007F1BA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701" w:type="dxa"/>
            <w:gridSpan w:val="3"/>
          </w:tcPr>
          <w:p w14:paraId="3B208D80" w14:textId="77777777" w:rsidR="008F5ACE" w:rsidRPr="00776FB1" w:rsidRDefault="008F5ACE" w:rsidP="007F1BAD">
            <w:pPr>
              <w:jc w:val="center"/>
              <w:rPr>
                <w:rFonts w:cstheme="minorHAnsi"/>
                <w:i/>
                <w:iCs/>
                <w:lang w:val="en-GB"/>
              </w:rPr>
            </w:pPr>
            <w:r w:rsidRPr="00776FB1">
              <w:rPr>
                <w:rFonts w:cstheme="minorHAnsi"/>
                <w:i/>
                <w:iCs/>
              </w:rPr>
              <w:t>Key Terms</w:t>
            </w:r>
          </w:p>
        </w:tc>
        <w:tc>
          <w:tcPr>
            <w:tcW w:w="8647" w:type="dxa"/>
          </w:tcPr>
          <w:p w14:paraId="6AE13C64" w14:textId="77777777" w:rsidR="008F5ACE" w:rsidRPr="001B45F2" w:rsidRDefault="008F5ACE" w:rsidP="007F1BAD">
            <w:pPr>
              <w:jc w:val="center"/>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4F35A0">
              <w:rPr>
                <w:rFonts w:cstheme="minorHAnsi"/>
                <w:b/>
                <w:bCs/>
              </w:rPr>
              <w:t>Revenue-Based Financing</w:t>
            </w:r>
          </w:p>
        </w:tc>
      </w:tr>
      <w:tr w:rsidR="008F5ACE" w:rsidRPr="000B2299" w14:paraId="4C6D215F" w14:textId="77777777" w:rsidTr="007F1BAD">
        <w:trPr>
          <w:trHeight w:val="611"/>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12AFC867" w14:textId="77777777" w:rsidR="008F5ACE" w:rsidRPr="00776FB1" w:rsidRDefault="008F5ACE" w:rsidP="007F1BAD">
            <w:pPr>
              <w:rPr>
                <w:rFonts w:cstheme="minorHAnsi"/>
                <w:i/>
                <w:iCs/>
              </w:rPr>
            </w:pPr>
            <w:r w:rsidRPr="00776FB1">
              <w:rPr>
                <w:rFonts w:cstheme="minorHAnsi"/>
                <w:i/>
                <w:iCs/>
              </w:rPr>
              <w:t>Scheme</w:t>
            </w:r>
          </w:p>
        </w:tc>
        <w:tc>
          <w:tcPr>
            <w:tcW w:w="8647" w:type="dxa"/>
            <w:hideMark/>
          </w:tcPr>
          <w:p w14:paraId="7CA7CCEA"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r w:rsidRPr="000B2299">
              <w:rPr>
                <w:rFonts w:cstheme="minorHAnsi"/>
              </w:rPr>
              <w:t>Flexible revenue-sharing based on the company’s top-line revenues, including the possibility to adapt duration terms according to business performance and speeds of generating revenues, including no penalties for earlier completion.</w:t>
            </w:r>
          </w:p>
        </w:tc>
      </w:tr>
      <w:tr w:rsidR="008F5ACE" w:rsidRPr="000B2299" w14:paraId="50503782" w14:textId="77777777" w:rsidTr="007F1BA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11A616CD" w14:textId="77777777" w:rsidR="008F5ACE" w:rsidRPr="00776FB1" w:rsidRDefault="008F5ACE" w:rsidP="007F1BAD">
            <w:pPr>
              <w:rPr>
                <w:rFonts w:cstheme="minorHAnsi"/>
                <w:i/>
                <w:iCs/>
              </w:rPr>
            </w:pPr>
            <w:r w:rsidRPr="00776FB1">
              <w:rPr>
                <w:rFonts w:cstheme="minorHAnsi"/>
                <w:i/>
                <w:iCs/>
              </w:rPr>
              <w:t>Award amount</w:t>
            </w:r>
          </w:p>
        </w:tc>
        <w:tc>
          <w:tcPr>
            <w:tcW w:w="8647" w:type="dxa"/>
            <w:hideMark/>
          </w:tcPr>
          <w:p w14:paraId="2BC56F6B" w14:textId="77777777" w:rsidR="008F5ACE" w:rsidRPr="000B2299" w:rsidRDefault="008F5ACE" w:rsidP="007F1BAD">
            <w:pPr>
              <w:cnfStyle w:val="000000100000" w:firstRow="0" w:lastRow="0" w:firstColumn="0" w:lastColumn="0" w:oddVBand="0" w:evenVBand="0" w:oddHBand="1" w:evenHBand="0" w:firstRowFirstColumn="0" w:firstRowLastColumn="0" w:lastRowFirstColumn="0" w:lastRowLastColumn="0"/>
              <w:rPr>
                <w:rFonts w:cstheme="minorHAnsi"/>
              </w:rPr>
            </w:pPr>
            <w:r w:rsidRPr="000B2299">
              <w:rPr>
                <w:rFonts w:cstheme="minorHAnsi"/>
              </w:rPr>
              <w:t>Up to 2</w:t>
            </w:r>
            <w:r w:rsidRPr="000B2299">
              <w:rPr>
                <w:rFonts w:cstheme="minorHAnsi"/>
                <w:lang w:val="en-GB"/>
              </w:rPr>
              <w:t>50</w:t>
            </w:r>
            <w:r w:rsidRPr="000B2299">
              <w:rPr>
                <w:rFonts w:cstheme="minorHAnsi"/>
              </w:rPr>
              <w:t>.000 EUR (80% disbursed at beginning of project, 20% disbursed at project completion)</w:t>
            </w:r>
          </w:p>
        </w:tc>
      </w:tr>
      <w:tr w:rsidR="008F5ACE" w:rsidRPr="000B2299" w14:paraId="2DDDFD06" w14:textId="77777777" w:rsidTr="007F1BAD">
        <w:trPr>
          <w:trHeight w:val="611"/>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306E55B0" w14:textId="77777777" w:rsidR="008F5ACE" w:rsidRPr="00776FB1" w:rsidRDefault="008F5ACE" w:rsidP="007F1BAD">
            <w:pPr>
              <w:rPr>
                <w:rFonts w:cstheme="minorHAnsi"/>
                <w:i/>
                <w:iCs/>
              </w:rPr>
            </w:pPr>
            <w:r w:rsidRPr="00776FB1">
              <w:rPr>
                <w:rFonts w:cstheme="minorHAnsi"/>
                <w:i/>
                <w:iCs/>
              </w:rPr>
              <w:t>Maximum Threshold</w:t>
            </w:r>
          </w:p>
        </w:tc>
        <w:tc>
          <w:tcPr>
            <w:tcW w:w="8647" w:type="dxa"/>
            <w:hideMark/>
          </w:tcPr>
          <w:p w14:paraId="13DA0427"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r w:rsidRPr="000B2299">
              <w:rPr>
                <w:rFonts w:cstheme="minorHAnsi"/>
              </w:rPr>
              <w:t>The amount that will be shared with EIT Food. It is equal to the Award amount plus a premium of 8,50 per cent per year in which the RBF is in effect</w:t>
            </w:r>
          </w:p>
        </w:tc>
      </w:tr>
      <w:tr w:rsidR="008F5ACE" w:rsidRPr="000B2299" w14:paraId="7F19C9F3" w14:textId="77777777" w:rsidTr="007F1BA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3B8FF57E" w14:textId="77777777" w:rsidR="008F5ACE" w:rsidRPr="00776FB1" w:rsidRDefault="008F5ACE" w:rsidP="007F1BAD">
            <w:pPr>
              <w:rPr>
                <w:rFonts w:cstheme="minorHAnsi"/>
                <w:i/>
                <w:iCs/>
              </w:rPr>
            </w:pPr>
            <w:r w:rsidRPr="00776FB1">
              <w:rPr>
                <w:rFonts w:cstheme="minorHAnsi"/>
                <w:i/>
                <w:iCs/>
              </w:rPr>
              <w:t>Reward payments</w:t>
            </w:r>
          </w:p>
        </w:tc>
        <w:tc>
          <w:tcPr>
            <w:tcW w:w="8647" w:type="dxa"/>
            <w:hideMark/>
          </w:tcPr>
          <w:p w14:paraId="1CC9A709" w14:textId="77777777" w:rsidR="008F5ACE" w:rsidRPr="000B2299" w:rsidRDefault="008F5ACE" w:rsidP="007F1BAD">
            <w:pPr>
              <w:cnfStyle w:val="000000100000" w:firstRow="0" w:lastRow="0" w:firstColumn="0" w:lastColumn="0" w:oddVBand="0" w:evenVBand="0" w:oddHBand="1" w:evenHBand="0" w:firstRowFirstColumn="0" w:firstRowLastColumn="0" w:lastRowFirstColumn="0" w:lastRowLastColumn="0"/>
              <w:rPr>
                <w:rFonts w:cstheme="minorHAnsi"/>
              </w:rPr>
            </w:pPr>
            <w:r w:rsidRPr="000B2299">
              <w:rPr>
                <w:rFonts w:cstheme="minorHAnsi"/>
                <w:lang w:val="en-GB"/>
              </w:rPr>
              <w:t>Monthly success sharing payments,</w:t>
            </w:r>
            <w:r w:rsidRPr="000B2299">
              <w:rPr>
                <w:rFonts w:cstheme="minorHAnsi"/>
              </w:rPr>
              <w:t xml:space="preserve"> equal to a negotiated % of the company’s revenues </w:t>
            </w:r>
            <w:r w:rsidRPr="000B2299">
              <w:rPr>
                <w:rFonts w:cstheme="minorHAnsi"/>
                <w:lang w:val="en-GB"/>
              </w:rPr>
              <w:t xml:space="preserve">calculated </w:t>
            </w:r>
            <w:r w:rsidRPr="000B2299">
              <w:rPr>
                <w:rFonts w:cstheme="minorHAnsi"/>
              </w:rPr>
              <w:t>every 6 months</w:t>
            </w:r>
          </w:p>
        </w:tc>
      </w:tr>
      <w:tr w:rsidR="008F5ACE" w:rsidRPr="000B2299" w14:paraId="711B0B79" w14:textId="77777777" w:rsidTr="007F1BAD">
        <w:trPr>
          <w:trHeight w:val="449"/>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1B656CA3" w14:textId="77777777" w:rsidR="008F5ACE" w:rsidRPr="00776FB1" w:rsidRDefault="008F5ACE" w:rsidP="007F1BAD">
            <w:pPr>
              <w:rPr>
                <w:rFonts w:cstheme="minorHAnsi"/>
                <w:i/>
                <w:iCs/>
              </w:rPr>
            </w:pPr>
            <w:r w:rsidRPr="00776FB1">
              <w:rPr>
                <w:rFonts w:cstheme="minorHAnsi"/>
                <w:i/>
                <w:iCs/>
              </w:rPr>
              <w:t>Grace period</w:t>
            </w:r>
          </w:p>
        </w:tc>
        <w:tc>
          <w:tcPr>
            <w:tcW w:w="8647" w:type="dxa"/>
            <w:hideMark/>
          </w:tcPr>
          <w:p w14:paraId="1D055859"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r w:rsidRPr="000B2299">
              <w:rPr>
                <w:rFonts w:cstheme="minorHAnsi"/>
                <w:lang w:val="en-GB"/>
              </w:rPr>
              <w:t>No reward payments are required during project execution (up to 12 months)</w:t>
            </w:r>
          </w:p>
        </w:tc>
      </w:tr>
      <w:tr w:rsidR="008F5ACE" w:rsidRPr="000B2299" w14:paraId="003246AD" w14:textId="77777777" w:rsidTr="007F1BAD">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35940330" w14:textId="77777777" w:rsidR="008F5ACE" w:rsidRPr="00776FB1" w:rsidRDefault="008F5ACE" w:rsidP="007F1BAD">
            <w:pPr>
              <w:rPr>
                <w:rFonts w:cstheme="minorHAnsi"/>
                <w:i/>
                <w:iCs/>
              </w:rPr>
            </w:pPr>
            <w:r w:rsidRPr="00776FB1">
              <w:rPr>
                <w:rFonts w:cstheme="minorHAnsi"/>
                <w:i/>
                <w:iCs/>
                <w:lang w:val="en-GB"/>
              </w:rPr>
              <w:t>Maximum Completion Date</w:t>
            </w:r>
          </w:p>
        </w:tc>
        <w:tc>
          <w:tcPr>
            <w:tcW w:w="8647" w:type="dxa"/>
            <w:hideMark/>
          </w:tcPr>
          <w:p w14:paraId="0A4B2760" w14:textId="77777777" w:rsidR="008F5ACE" w:rsidRPr="000B2299" w:rsidRDefault="008F5ACE" w:rsidP="007F1BAD">
            <w:pPr>
              <w:cnfStyle w:val="000000100000" w:firstRow="0" w:lastRow="0" w:firstColumn="0" w:lastColumn="0" w:oddVBand="0" w:evenVBand="0" w:oddHBand="1" w:evenHBand="0" w:firstRowFirstColumn="0" w:firstRowLastColumn="0" w:lastRowFirstColumn="0" w:lastRowLastColumn="0"/>
              <w:rPr>
                <w:rFonts w:cstheme="minorHAnsi"/>
              </w:rPr>
            </w:pPr>
            <w:r w:rsidRPr="000B2299">
              <w:rPr>
                <w:rFonts w:cstheme="minorHAnsi"/>
                <w:lang w:val="en-GB"/>
              </w:rPr>
              <w:t>Maximum 6 years from signature date</w:t>
            </w:r>
          </w:p>
        </w:tc>
      </w:tr>
      <w:tr w:rsidR="008F5ACE" w:rsidRPr="000B2299" w14:paraId="50338A52" w14:textId="77777777" w:rsidTr="00202DF3">
        <w:trPr>
          <w:trHeight w:val="1843"/>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23CE0230" w14:textId="77777777" w:rsidR="008F5ACE" w:rsidRPr="00776FB1" w:rsidRDefault="008F5ACE" w:rsidP="007F1BAD">
            <w:pPr>
              <w:rPr>
                <w:rFonts w:cstheme="minorHAnsi"/>
                <w:i/>
                <w:iCs/>
              </w:rPr>
            </w:pPr>
            <w:r w:rsidRPr="00776FB1">
              <w:rPr>
                <w:rFonts w:cstheme="minorHAnsi"/>
                <w:i/>
                <w:iCs/>
              </w:rPr>
              <w:t xml:space="preserve">Premium </w:t>
            </w:r>
          </w:p>
        </w:tc>
        <w:tc>
          <w:tcPr>
            <w:tcW w:w="8647" w:type="dxa"/>
            <w:hideMark/>
          </w:tcPr>
          <w:p w14:paraId="3136ACC7" w14:textId="77777777" w:rsidR="008F5ACE"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r w:rsidRPr="000B2299">
              <w:rPr>
                <w:rFonts w:cstheme="minorHAnsi"/>
              </w:rPr>
              <w:t>The premium is equal to 8,</w:t>
            </w:r>
            <w:r w:rsidRPr="000B2299">
              <w:rPr>
                <w:rFonts w:cstheme="minorHAnsi"/>
                <w:lang w:val="en-GB"/>
              </w:rPr>
              <w:t>50 per cent</w:t>
            </w:r>
            <w:r w:rsidRPr="000B2299">
              <w:rPr>
                <w:rFonts w:cstheme="minorHAnsi"/>
              </w:rPr>
              <w:t xml:space="preserve"> of the Award amount per year in which the RBF is still outstanding. In other words, </w:t>
            </w:r>
            <w:r w:rsidRPr="000B2299">
              <w:rPr>
                <w:rFonts w:cstheme="minorHAnsi"/>
                <w:lang w:val="en-GB"/>
              </w:rPr>
              <w:t xml:space="preserve">for every year in which the RBF is still in effect, </w:t>
            </w:r>
            <w:r w:rsidRPr="000B2299">
              <w:rPr>
                <w:rFonts w:cstheme="minorHAnsi"/>
              </w:rPr>
              <w:t xml:space="preserve">the total Maximum Threshold increases </w:t>
            </w:r>
            <w:r w:rsidRPr="000B2299">
              <w:rPr>
                <w:rFonts w:cstheme="minorHAnsi"/>
                <w:lang w:val="en-GB"/>
              </w:rPr>
              <w:t>by a factor of 8,50 per cent. For example</w:t>
            </w:r>
            <w:r w:rsidRPr="000B2299">
              <w:rPr>
                <w:rFonts w:cstheme="minorHAnsi"/>
              </w:rPr>
              <w:t xml:space="preserve">: </w:t>
            </w:r>
          </w:p>
          <w:p w14:paraId="198F1F25"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p>
          <w:p w14:paraId="22AA818B" w14:textId="77777777" w:rsidR="008F5ACE"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0B2299">
              <w:rPr>
                <w:rFonts w:cstheme="minorHAnsi"/>
                <w:b/>
                <w:bCs/>
                <w:lang w:val="en-GB"/>
              </w:rPr>
              <w:t>Assuming an Award amount of 250.000 EUR</w:t>
            </w:r>
            <w:r w:rsidRPr="000B2299">
              <w:rPr>
                <w:rFonts w:cstheme="minorHAnsi"/>
                <w:lang w:val="en-GB"/>
              </w:rPr>
              <w:t>, the company will start to pay a percentage of their revenues each month. With those payments:</w:t>
            </w:r>
          </w:p>
          <w:p w14:paraId="023886B2"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p>
          <w:p w14:paraId="4D93FBEF" w14:textId="77777777" w:rsidR="008F5ACE" w:rsidRPr="001A3347" w:rsidRDefault="008F5ACE" w:rsidP="007F1BA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1A3347">
              <w:rPr>
                <w:rFonts w:cstheme="minorHAnsi"/>
                <w:lang w:val="en-GB"/>
              </w:rPr>
              <w:t>I</w:t>
            </w:r>
            <w:r w:rsidRPr="001A3347">
              <w:rPr>
                <w:rFonts w:cstheme="minorHAnsi"/>
              </w:rPr>
              <w:t xml:space="preserve">f the </w:t>
            </w:r>
            <w:r w:rsidRPr="001A3347">
              <w:rPr>
                <w:rFonts w:cstheme="minorHAnsi"/>
                <w:lang w:val="en-GB"/>
              </w:rPr>
              <w:t xml:space="preserve">Maximum Threshold is reached </w:t>
            </w:r>
            <w:r w:rsidRPr="001A3347">
              <w:rPr>
                <w:rFonts w:cstheme="minorHAnsi"/>
              </w:rPr>
              <w:t xml:space="preserve">within </w:t>
            </w:r>
            <w:r w:rsidRPr="001A3347">
              <w:rPr>
                <w:rFonts w:cstheme="minorHAnsi"/>
                <w:b/>
                <w:bCs/>
              </w:rPr>
              <w:t>1 year</w:t>
            </w:r>
            <w:r w:rsidRPr="001A3347">
              <w:rPr>
                <w:rFonts w:cstheme="minorHAnsi"/>
              </w:rPr>
              <w:t xml:space="preserve"> after project completion, the company will </w:t>
            </w:r>
            <w:r>
              <w:rPr>
                <w:rFonts w:cstheme="minorHAnsi"/>
              </w:rPr>
              <w:t xml:space="preserve">only </w:t>
            </w:r>
            <w:r w:rsidRPr="001A3347">
              <w:rPr>
                <w:rFonts w:cstheme="minorHAnsi"/>
              </w:rPr>
              <w:t xml:space="preserve">pay a </w:t>
            </w:r>
            <w:r>
              <w:rPr>
                <w:rFonts w:cstheme="minorHAnsi"/>
              </w:rPr>
              <w:t xml:space="preserve">maximum </w:t>
            </w:r>
            <w:r w:rsidRPr="001A3347">
              <w:rPr>
                <w:rFonts w:cstheme="minorHAnsi"/>
              </w:rPr>
              <w:t xml:space="preserve">total of </w:t>
            </w:r>
            <w:r w:rsidRPr="001A3347">
              <w:rPr>
                <w:rFonts w:cstheme="minorHAnsi"/>
                <w:b/>
                <w:bCs/>
              </w:rPr>
              <w:t>2</w:t>
            </w:r>
            <w:r w:rsidRPr="001A3347">
              <w:rPr>
                <w:rFonts w:cstheme="minorHAnsi"/>
                <w:b/>
                <w:bCs/>
                <w:lang w:val="en-GB"/>
              </w:rPr>
              <w:t>71</w:t>
            </w:r>
            <w:r w:rsidRPr="001A3347">
              <w:rPr>
                <w:rFonts w:cstheme="minorHAnsi"/>
                <w:b/>
                <w:bCs/>
              </w:rPr>
              <w:t>.</w:t>
            </w:r>
            <w:r w:rsidRPr="001A3347">
              <w:rPr>
                <w:rFonts w:cstheme="minorHAnsi"/>
                <w:b/>
                <w:bCs/>
                <w:lang w:val="en-GB"/>
              </w:rPr>
              <w:t xml:space="preserve">250 </w:t>
            </w:r>
            <w:r w:rsidRPr="001A3347">
              <w:rPr>
                <w:rFonts w:cstheme="minorHAnsi"/>
                <w:b/>
                <w:bCs/>
              </w:rPr>
              <w:t>EUR</w:t>
            </w:r>
          </w:p>
          <w:p w14:paraId="4134CC2E" w14:textId="77777777" w:rsidR="008F5ACE" w:rsidRPr="001A3347" w:rsidRDefault="008F5ACE" w:rsidP="007F1BA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1A3347">
              <w:rPr>
                <w:rFonts w:cstheme="minorHAnsi"/>
                <w:lang w:val="en-GB"/>
              </w:rPr>
              <w:t>I</w:t>
            </w:r>
            <w:r w:rsidRPr="001A3347">
              <w:rPr>
                <w:rFonts w:cstheme="minorHAnsi"/>
              </w:rPr>
              <w:t xml:space="preserve">f the </w:t>
            </w:r>
            <w:r w:rsidRPr="001A3347">
              <w:rPr>
                <w:rFonts w:cstheme="minorHAnsi"/>
                <w:lang w:val="en-GB"/>
              </w:rPr>
              <w:t xml:space="preserve">Maximum Threshold is reached </w:t>
            </w:r>
            <w:r w:rsidRPr="001A3347">
              <w:rPr>
                <w:rFonts w:cstheme="minorHAnsi"/>
              </w:rPr>
              <w:t xml:space="preserve">within </w:t>
            </w:r>
            <w:r w:rsidRPr="001A3347">
              <w:rPr>
                <w:rFonts w:cstheme="minorHAnsi"/>
                <w:b/>
                <w:bCs/>
              </w:rPr>
              <w:t>2 years</w:t>
            </w:r>
            <w:r w:rsidRPr="001A3347">
              <w:rPr>
                <w:rFonts w:cstheme="minorHAnsi"/>
              </w:rPr>
              <w:t xml:space="preserve"> after project completion, the company will </w:t>
            </w:r>
            <w:r>
              <w:rPr>
                <w:rFonts w:cstheme="minorHAnsi"/>
              </w:rPr>
              <w:t xml:space="preserve">only </w:t>
            </w:r>
            <w:r w:rsidRPr="001A3347">
              <w:rPr>
                <w:rFonts w:cstheme="minorHAnsi"/>
              </w:rPr>
              <w:t xml:space="preserve">pay a </w:t>
            </w:r>
            <w:r>
              <w:rPr>
                <w:rFonts w:cstheme="minorHAnsi"/>
              </w:rPr>
              <w:t xml:space="preserve">maximum </w:t>
            </w:r>
            <w:r w:rsidRPr="001A3347">
              <w:rPr>
                <w:rFonts w:cstheme="minorHAnsi"/>
              </w:rPr>
              <w:t xml:space="preserve">total of </w:t>
            </w:r>
            <w:r w:rsidRPr="001A3347">
              <w:rPr>
                <w:rFonts w:cstheme="minorHAnsi"/>
                <w:b/>
                <w:bCs/>
              </w:rPr>
              <w:t>2</w:t>
            </w:r>
            <w:r w:rsidRPr="001A3347">
              <w:rPr>
                <w:rFonts w:cstheme="minorHAnsi"/>
                <w:b/>
                <w:bCs/>
                <w:lang w:val="en-GB"/>
              </w:rPr>
              <w:t>92</w:t>
            </w:r>
            <w:r w:rsidRPr="001A3347">
              <w:rPr>
                <w:rFonts w:cstheme="minorHAnsi"/>
                <w:b/>
                <w:bCs/>
              </w:rPr>
              <w:t>.</w:t>
            </w:r>
            <w:r w:rsidRPr="001A3347">
              <w:rPr>
                <w:rFonts w:cstheme="minorHAnsi"/>
                <w:b/>
                <w:bCs/>
                <w:lang w:val="en-GB"/>
              </w:rPr>
              <w:t>5</w:t>
            </w:r>
            <w:r w:rsidRPr="001A3347">
              <w:rPr>
                <w:rFonts w:cstheme="minorHAnsi"/>
                <w:b/>
                <w:bCs/>
              </w:rPr>
              <w:t>00 EUR</w:t>
            </w:r>
          </w:p>
          <w:p w14:paraId="2189CEB7" w14:textId="77777777" w:rsidR="008F5ACE" w:rsidRPr="001A3347" w:rsidRDefault="008F5ACE" w:rsidP="007F1BA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1A3347">
              <w:rPr>
                <w:rFonts w:cstheme="minorHAnsi"/>
                <w:lang w:val="en-GB"/>
              </w:rPr>
              <w:t xml:space="preserve">If the Maximum Threshold is reached </w:t>
            </w:r>
            <w:r w:rsidRPr="001A3347">
              <w:rPr>
                <w:rFonts w:cstheme="minorHAnsi"/>
              </w:rPr>
              <w:t xml:space="preserve">within </w:t>
            </w:r>
            <w:r w:rsidRPr="001A3347">
              <w:rPr>
                <w:rFonts w:cstheme="minorHAnsi"/>
                <w:b/>
                <w:bCs/>
              </w:rPr>
              <w:t>3 years</w:t>
            </w:r>
            <w:r w:rsidRPr="001A3347">
              <w:rPr>
                <w:rFonts w:cstheme="minorHAnsi"/>
              </w:rPr>
              <w:t xml:space="preserve"> after project completion, the company will </w:t>
            </w:r>
            <w:r>
              <w:rPr>
                <w:rFonts w:cstheme="minorHAnsi"/>
              </w:rPr>
              <w:t xml:space="preserve">only </w:t>
            </w:r>
            <w:r w:rsidRPr="001A3347">
              <w:rPr>
                <w:rFonts w:cstheme="minorHAnsi"/>
              </w:rPr>
              <w:t xml:space="preserve">pay a </w:t>
            </w:r>
            <w:r>
              <w:rPr>
                <w:rFonts w:cstheme="minorHAnsi"/>
              </w:rPr>
              <w:t xml:space="preserve">maximum </w:t>
            </w:r>
            <w:r w:rsidRPr="001A3347">
              <w:rPr>
                <w:rFonts w:cstheme="minorHAnsi"/>
              </w:rPr>
              <w:t xml:space="preserve">total of </w:t>
            </w:r>
            <w:r w:rsidRPr="001A3347">
              <w:rPr>
                <w:rFonts w:cstheme="minorHAnsi"/>
                <w:b/>
                <w:bCs/>
                <w:lang w:val="en-GB"/>
              </w:rPr>
              <w:t>313</w:t>
            </w:r>
            <w:r w:rsidRPr="001A3347">
              <w:rPr>
                <w:rFonts w:cstheme="minorHAnsi"/>
                <w:b/>
                <w:bCs/>
              </w:rPr>
              <w:t>.</w:t>
            </w:r>
            <w:r w:rsidRPr="001A3347">
              <w:rPr>
                <w:rFonts w:cstheme="minorHAnsi"/>
                <w:b/>
                <w:bCs/>
                <w:lang w:val="en-GB"/>
              </w:rPr>
              <w:t>75</w:t>
            </w:r>
            <w:r w:rsidRPr="001A3347">
              <w:rPr>
                <w:rFonts w:cstheme="minorHAnsi"/>
                <w:b/>
                <w:bCs/>
              </w:rPr>
              <w:t>0 EUR</w:t>
            </w:r>
          </w:p>
          <w:p w14:paraId="3ECBF954" w14:textId="77777777" w:rsidR="008F5ACE" w:rsidRPr="001A3347" w:rsidRDefault="008F5ACE" w:rsidP="007F1BA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1A3347">
              <w:rPr>
                <w:rFonts w:cstheme="minorHAnsi"/>
                <w:lang w:val="en-GB"/>
              </w:rPr>
              <w:lastRenderedPageBreak/>
              <w:t xml:space="preserve">If the Maximum Threshold is reached </w:t>
            </w:r>
            <w:r w:rsidRPr="001A3347">
              <w:rPr>
                <w:rFonts w:cstheme="minorHAnsi"/>
              </w:rPr>
              <w:t xml:space="preserve">within </w:t>
            </w:r>
            <w:r w:rsidRPr="001A3347">
              <w:rPr>
                <w:rFonts w:cstheme="minorHAnsi"/>
                <w:b/>
                <w:bCs/>
              </w:rPr>
              <w:t>4 years</w:t>
            </w:r>
            <w:r w:rsidRPr="001A3347">
              <w:rPr>
                <w:rFonts w:cstheme="minorHAnsi"/>
              </w:rPr>
              <w:t xml:space="preserve"> after project completion, the company will </w:t>
            </w:r>
            <w:r>
              <w:rPr>
                <w:rFonts w:cstheme="minorHAnsi"/>
              </w:rPr>
              <w:t xml:space="preserve">only </w:t>
            </w:r>
            <w:r w:rsidRPr="001A3347">
              <w:rPr>
                <w:rFonts w:cstheme="minorHAnsi"/>
              </w:rPr>
              <w:t xml:space="preserve">pay a </w:t>
            </w:r>
            <w:r>
              <w:rPr>
                <w:rFonts w:cstheme="minorHAnsi"/>
              </w:rPr>
              <w:t xml:space="preserve">maximum </w:t>
            </w:r>
            <w:r w:rsidRPr="001A3347">
              <w:rPr>
                <w:rFonts w:cstheme="minorHAnsi"/>
              </w:rPr>
              <w:t xml:space="preserve">total of </w:t>
            </w:r>
            <w:r w:rsidRPr="001A3347">
              <w:rPr>
                <w:rFonts w:cstheme="minorHAnsi"/>
                <w:b/>
                <w:bCs/>
                <w:lang w:val="en-GB"/>
              </w:rPr>
              <w:t>335</w:t>
            </w:r>
            <w:r w:rsidRPr="001A3347">
              <w:rPr>
                <w:rFonts w:cstheme="minorHAnsi"/>
                <w:b/>
                <w:bCs/>
              </w:rPr>
              <w:t>.000 EUR</w:t>
            </w:r>
          </w:p>
          <w:p w14:paraId="3228E3DB" w14:textId="77777777" w:rsidR="008F5ACE" w:rsidRPr="001A3347" w:rsidRDefault="008F5ACE" w:rsidP="007F1BA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cstheme="minorHAnsi"/>
              </w:rPr>
            </w:pPr>
            <w:r w:rsidRPr="001A3347">
              <w:rPr>
                <w:rFonts w:cstheme="minorHAnsi"/>
                <w:lang w:val="en-GB"/>
              </w:rPr>
              <w:t xml:space="preserve">If the Maximum Threshold is reached </w:t>
            </w:r>
            <w:r w:rsidRPr="001A3347">
              <w:rPr>
                <w:rFonts w:cstheme="minorHAnsi"/>
              </w:rPr>
              <w:t xml:space="preserve">within </w:t>
            </w:r>
            <w:r w:rsidRPr="001A3347">
              <w:rPr>
                <w:rFonts w:cstheme="minorHAnsi"/>
                <w:b/>
                <w:bCs/>
              </w:rPr>
              <w:t>5 years</w:t>
            </w:r>
            <w:r w:rsidRPr="001A3347">
              <w:rPr>
                <w:rFonts w:cstheme="minorHAnsi"/>
              </w:rPr>
              <w:t xml:space="preserve"> after project completion, the company will </w:t>
            </w:r>
            <w:r>
              <w:rPr>
                <w:rFonts w:cstheme="minorHAnsi"/>
              </w:rPr>
              <w:t xml:space="preserve">only </w:t>
            </w:r>
            <w:r w:rsidRPr="001A3347">
              <w:rPr>
                <w:rFonts w:cstheme="minorHAnsi"/>
              </w:rPr>
              <w:t xml:space="preserve">pay a </w:t>
            </w:r>
            <w:r>
              <w:rPr>
                <w:rFonts w:cstheme="minorHAnsi"/>
              </w:rPr>
              <w:t xml:space="preserve">maximum </w:t>
            </w:r>
            <w:r w:rsidRPr="001A3347">
              <w:rPr>
                <w:rFonts w:cstheme="minorHAnsi"/>
              </w:rPr>
              <w:t xml:space="preserve">total of </w:t>
            </w:r>
            <w:r w:rsidRPr="001A3347">
              <w:rPr>
                <w:rFonts w:cstheme="minorHAnsi"/>
                <w:b/>
                <w:bCs/>
                <w:lang w:val="en-GB"/>
              </w:rPr>
              <w:t>356</w:t>
            </w:r>
            <w:r w:rsidRPr="001A3347">
              <w:rPr>
                <w:rFonts w:cstheme="minorHAnsi"/>
                <w:b/>
                <w:bCs/>
              </w:rPr>
              <w:t>.</w:t>
            </w:r>
            <w:r w:rsidRPr="001A3347">
              <w:rPr>
                <w:rFonts w:cstheme="minorHAnsi"/>
                <w:b/>
                <w:bCs/>
                <w:lang w:val="en-GB"/>
              </w:rPr>
              <w:t>2</w:t>
            </w:r>
            <w:r w:rsidRPr="001A3347">
              <w:rPr>
                <w:rFonts w:cstheme="minorHAnsi"/>
                <w:b/>
                <w:bCs/>
              </w:rPr>
              <w:t>00 EUR</w:t>
            </w:r>
          </w:p>
          <w:p w14:paraId="65BA2851"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p>
          <w:p w14:paraId="31A98A83"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r w:rsidRPr="000B2299">
              <w:rPr>
                <w:rFonts w:cstheme="minorHAnsi"/>
                <w:lang w:val="en-GB"/>
              </w:rPr>
              <w:t>As such, EIT Food encourages faster payment for selected participants.</w:t>
            </w:r>
          </w:p>
        </w:tc>
      </w:tr>
      <w:tr w:rsidR="008F5ACE" w:rsidRPr="000B2299" w14:paraId="5AD35B0B" w14:textId="77777777" w:rsidTr="007F1BAD">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644E579C" w14:textId="77777777" w:rsidR="008F5ACE" w:rsidRPr="00776FB1" w:rsidRDefault="008F5ACE" w:rsidP="007F1BAD">
            <w:pPr>
              <w:rPr>
                <w:rFonts w:cstheme="minorHAnsi"/>
                <w:i/>
                <w:iCs/>
              </w:rPr>
            </w:pPr>
            <w:r w:rsidRPr="00776FB1">
              <w:rPr>
                <w:rFonts w:cstheme="minorHAnsi"/>
                <w:i/>
                <w:iCs/>
                <w:lang w:val="en-GB"/>
              </w:rPr>
              <w:lastRenderedPageBreak/>
              <w:t>Covenants</w:t>
            </w:r>
          </w:p>
        </w:tc>
        <w:tc>
          <w:tcPr>
            <w:tcW w:w="8647" w:type="dxa"/>
            <w:hideMark/>
          </w:tcPr>
          <w:p w14:paraId="2C83E420" w14:textId="77777777" w:rsidR="008F5ACE" w:rsidRPr="000B2299" w:rsidRDefault="008F5ACE" w:rsidP="007F1BAD">
            <w:pPr>
              <w:cnfStyle w:val="000000100000" w:firstRow="0" w:lastRow="0" w:firstColumn="0" w:lastColumn="0" w:oddVBand="0" w:evenVBand="0" w:oddHBand="1" w:evenHBand="0" w:firstRowFirstColumn="0" w:firstRowLastColumn="0" w:lastRowFirstColumn="0" w:lastRowLastColumn="0"/>
              <w:rPr>
                <w:rFonts w:cstheme="minorHAnsi"/>
              </w:rPr>
            </w:pPr>
            <w:r w:rsidRPr="000B2299">
              <w:rPr>
                <w:rFonts w:cstheme="minorHAnsi"/>
                <w:lang w:val="en-GB"/>
              </w:rPr>
              <w:t>Must adhere to regular project monitoring and compliance with Horizon Europe funding rules (e.g., restrictions on CAPEX expenditure)</w:t>
            </w:r>
          </w:p>
        </w:tc>
      </w:tr>
      <w:tr w:rsidR="008F5ACE" w:rsidRPr="000B2299" w14:paraId="494160AD" w14:textId="77777777" w:rsidTr="007F1BAD">
        <w:trPr>
          <w:trHeight w:val="617"/>
        </w:trPr>
        <w:tc>
          <w:tcPr>
            <w:cnfStyle w:val="001000000000" w:firstRow="0" w:lastRow="0" w:firstColumn="1" w:lastColumn="0" w:oddVBand="0" w:evenVBand="0" w:oddHBand="0" w:evenHBand="0" w:firstRowFirstColumn="0" w:firstRowLastColumn="0" w:lastRowFirstColumn="0" w:lastRowLastColumn="0"/>
            <w:tcW w:w="1701" w:type="dxa"/>
            <w:gridSpan w:val="3"/>
            <w:hideMark/>
          </w:tcPr>
          <w:p w14:paraId="79589068" w14:textId="77777777" w:rsidR="008F5ACE" w:rsidRPr="00776FB1" w:rsidRDefault="008F5ACE" w:rsidP="007F1BAD">
            <w:pPr>
              <w:rPr>
                <w:rFonts w:cstheme="minorHAnsi"/>
                <w:i/>
                <w:iCs/>
              </w:rPr>
            </w:pPr>
            <w:r w:rsidRPr="00776FB1">
              <w:rPr>
                <w:rFonts w:cstheme="minorHAnsi"/>
                <w:i/>
                <w:iCs/>
              </w:rPr>
              <w:t>Additional rights</w:t>
            </w:r>
          </w:p>
        </w:tc>
        <w:tc>
          <w:tcPr>
            <w:tcW w:w="8647" w:type="dxa"/>
            <w:hideMark/>
          </w:tcPr>
          <w:p w14:paraId="55A8D6B2" w14:textId="77777777" w:rsidR="008F5ACE" w:rsidRPr="000B2299" w:rsidRDefault="008F5ACE" w:rsidP="007F1BAD">
            <w:pPr>
              <w:cnfStyle w:val="000000000000" w:firstRow="0" w:lastRow="0" w:firstColumn="0" w:lastColumn="0" w:oddVBand="0" w:evenVBand="0" w:oddHBand="0" w:evenHBand="0" w:firstRowFirstColumn="0" w:firstRowLastColumn="0" w:lastRowFirstColumn="0" w:lastRowLastColumn="0"/>
              <w:rPr>
                <w:rFonts w:cstheme="minorHAnsi"/>
              </w:rPr>
            </w:pPr>
            <w:r w:rsidRPr="000B2299">
              <w:rPr>
                <w:rFonts w:cstheme="minorHAnsi"/>
              </w:rPr>
              <w:t>As long as the RBF is in effect, EIT Food is keen on having the same information rights as members of the applicants’ Managing Board. In addition, EIT Food reserves the right to invite one Board Observer to the meetings of the applicants’ Managing Board.</w:t>
            </w:r>
          </w:p>
        </w:tc>
      </w:tr>
    </w:tbl>
    <w:p w14:paraId="6C26A9E8" w14:textId="77777777" w:rsidR="008F5ACE" w:rsidRDefault="008F5ACE" w:rsidP="008F5ACE">
      <w:pPr>
        <w:rPr>
          <w:rFonts w:eastAsiaTheme="minorEastAsia"/>
        </w:rPr>
      </w:pPr>
    </w:p>
    <w:p w14:paraId="54305F7A" w14:textId="77777777" w:rsidR="008F5ACE" w:rsidRPr="004F35A0" w:rsidRDefault="008F5ACE" w:rsidP="2EBBAFFF">
      <w:pPr>
        <w:spacing w:after="120" w:line="240" w:lineRule="auto"/>
        <w:rPr>
          <w:rFonts w:ascii="Calibri" w:eastAsia="Calibri" w:hAnsi="Calibri" w:cs="Calibri"/>
          <w:color w:val="000000" w:themeColor="text1"/>
        </w:rPr>
      </w:pPr>
    </w:p>
    <w:sectPr w:rsidR="008F5ACE" w:rsidRPr="004F35A0" w:rsidSect="007B299B">
      <w:footerReference w:type="even" r:id="rId40"/>
      <w:footerReference w:type="default" r:id="rId41"/>
      <w:footerReference w:type="first" r:id="rId42"/>
      <w:pgSz w:w="11907" w:h="16839" w:code="9"/>
      <w:pgMar w:top="1170" w:right="1135" w:bottom="1276" w:left="709"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2E03" w14:textId="77777777" w:rsidR="00271896" w:rsidRDefault="00271896" w:rsidP="00F26EF9">
      <w:pPr>
        <w:spacing w:after="0" w:line="240" w:lineRule="auto"/>
      </w:pPr>
      <w:r>
        <w:separator/>
      </w:r>
    </w:p>
  </w:endnote>
  <w:endnote w:type="continuationSeparator" w:id="0">
    <w:p w14:paraId="24B6B17B" w14:textId="77777777" w:rsidR="00271896" w:rsidRDefault="00271896" w:rsidP="00F26EF9">
      <w:pPr>
        <w:spacing w:after="0" w:line="240" w:lineRule="auto"/>
      </w:pPr>
      <w:r>
        <w:continuationSeparator/>
      </w:r>
    </w:p>
  </w:endnote>
  <w:endnote w:type="continuationNotice" w:id="1">
    <w:p w14:paraId="583E818C" w14:textId="77777777" w:rsidR="00271896" w:rsidRDefault="00271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9672140"/>
      <w:docPartObj>
        <w:docPartGallery w:val="Page Numbers (Bottom of Page)"/>
        <w:docPartUnique/>
      </w:docPartObj>
    </w:sdtPr>
    <w:sdtEndPr>
      <w:rPr>
        <w:rStyle w:val="PageNumber"/>
      </w:rPr>
    </w:sdtEndPr>
    <w:sdtContent>
      <w:p w14:paraId="2CAADC9C" w14:textId="316FCD29" w:rsidR="00A7430E" w:rsidRDefault="00A7430E" w:rsidP="007B29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8AB767" w14:textId="77777777" w:rsidR="00A7430E" w:rsidRDefault="00A74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935162"/>
      <w:docPartObj>
        <w:docPartGallery w:val="Page Numbers (Bottom of Page)"/>
        <w:docPartUnique/>
      </w:docPartObj>
    </w:sdtPr>
    <w:sdtEndPr>
      <w:rPr>
        <w:rStyle w:val="PageNumber"/>
      </w:rPr>
    </w:sdtEndPr>
    <w:sdtContent>
      <w:p w14:paraId="34692CD4" w14:textId="062CE88B" w:rsidR="00A7430E" w:rsidRDefault="00A7430E" w:rsidP="007B29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797C4E4" w14:textId="77777777" w:rsidR="00A7430E" w:rsidRDefault="00A74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B0D0" w14:textId="77777777" w:rsidR="009826BA" w:rsidRPr="0014371E" w:rsidRDefault="009826BA" w:rsidP="007B299B">
    <w:pPr>
      <w:pStyle w:val="PgNumber"/>
      <w:spacing w:after="0"/>
      <w:rPr>
        <w:rFonts w:cstheme="minorHAnsi"/>
        <w:color w:val="auto"/>
      </w:rPr>
    </w:pPr>
  </w:p>
  <w:p w14:paraId="29F4D3E9" w14:textId="77777777" w:rsidR="009826BA" w:rsidRDefault="0098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BFAE" w14:textId="77777777" w:rsidR="00271896" w:rsidRDefault="00271896" w:rsidP="00F26EF9">
      <w:pPr>
        <w:spacing w:after="0" w:line="240" w:lineRule="auto"/>
      </w:pPr>
      <w:r>
        <w:separator/>
      </w:r>
    </w:p>
  </w:footnote>
  <w:footnote w:type="continuationSeparator" w:id="0">
    <w:p w14:paraId="2E95FCDC" w14:textId="77777777" w:rsidR="00271896" w:rsidRDefault="00271896" w:rsidP="00F26EF9">
      <w:pPr>
        <w:spacing w:after="0" w:line="240" w:lineRule="auto"/>
      </w:pPr>
      <w:r>
        <w:continuationSeparator/>
      </w:r>
    </w:p>
  </w:footnote>
  <w:footnote w:type="continuationNotice" w:id="1">
    <w:p w14:paraId="1767F8C3" w14:textId="77777777" w:rsidR="00271896" w:rsidRDefault="002718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05E7"/>
    <w:multiLevelType w:val="multilevel"/>
    <w:tmpl w:val="1DF6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B5A4A"/>
    <w:multiLevelType w:val="hybridMultilevel"/>
    <w:tmpl w:val="0D4EA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597320"/>
    <w:multiLevelType w:val="hybridMultilevel"/>
    <w:tmpl w:val="CD3AA218"/>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67027E"/>
    <w:multiLevelType w:val="hybridMultilevel"/>
    <w:tmpl w:val="C4E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F9727"/>
    <w:multiLevelType w:val="hybridMultilevel"/>
    <w:tmpl w:val="8E76CD60"/>
    <w:lvl w:ilvl="0" w:tplc="80F4ABD4">
      <w:start w:val="1"/>
      <w:numFmt w:val="bullet"/>
      <w:lvlText w:val=""/>
      <w:lvlJc w:val="left"/>
      <w:pPr>
        <w:ind w:left="720" w:hanging="360"/>
      </w:pPr>
      <w:rPr>
        <w:rFonts w:ascii="Symbol" w:hAnsi="Symbol" w:hint="default"/>
      </w:rPr>
    </w:lvl>
    <w:lvl w:ilvl="1" w:tplc="76340FEE">
      <w:start w:val="1"/>
      <w:numFmt w:val="bullet"/>
      <w:lvlText w:val="o"/>
      <w:lvlJc w:val="left"/>
      <w:pPr>
        <w:ind w:left="1440" w:hanging="360"/>
      </w:pPr>
      <w:rPr>
        <w:rFonts w:ascii="Courier New" w:hAnsi="Courier New" w:hint="default"/>
      </w:rPr>
    </w:lvl>
    <w:lvl w:ilvl="2" w:tplc="80108D3A">
      <w:start w:val="1"/>
      <w:numFmt w:val="bullet"/>
      <w:lvlText w:val=""/>
      <w:lvlJc w:val="left"/>
      <w:pPr>
        <w:ind w:left="2160" w:hanging="360"/>
      </w:pPr>
      <w:rPr>
        <w:rFonts w:ascii="Wingdings" w:hAnsi="Wingdings" w:hint="default"/>
      </w:rPr>
    </w:lvl>
    <w:lvl w:ilvl="3" w:tplc="66B6ABF8">
      <w:start w:val="1"/>
      <w:numFmt w:val="bullet"/>
      <w:lvlText w:val=""/>
      <w:lvlJc w:val="left"/>
      <w:pPr>
        <w:ind w:left="2880" w:hanging="360"/>
      </w:pPr>
      <w:rPr>
        <w:rFonts w:ascii="Symbol" w:hAnsi="Symbol" w:hint="default"/>
      </w:rPr>
    </w:lvl>
    <w:lvl w:ilvl="4" w:tplc="B630D814">
      <w:start w:val="1"/>
      <w:numFmt w:val="bullet"/>
      <w:lvlText w:val="o"/>
      <w:lvlJc w:val="left"/>
      <w:pPr>
        <w:ind w:left="3600" w:hanging="360"/>
      </w:pPr>
      <w:rPr>
        <w:rFonts w:ascii="Courier New" w:hAnsi="Courier New" w:hint="default"/>
      </w:rPr>
    </w:lvl>
    <w:lvl w:ilvl="5" w:tplc="01C2BE6C">
      <w:start w:val="1"/>
      <w:numFmt w:val="bullet"/>
      <w:lvlText w:val=""/>
      <w:lvlJc w:val="left"/>
      <w:pPr>
        <w:ind w:left="4320" w:hanging="360"/>
      </w:pPr>
      <w:rPr>
        <w:rFonts w:ascii="Wingdings" w:hAnsi="Wingdings" w:hint="default"/>
      </w:rPr>
    </w:lvl>
    <w:lvl w:ilvl="6" w:tplc="C980CF96">
      <w:start w:val="1"/>
      <w:numFmt w:val="bullet"/>
      <w:lvlText w:val=""/>
      <w:lvlJc w:val="left"/>
      <w:pPr>
        <w:ind w:left="5040" w:hanging="360"/>
      </w:pPr>
      <w:rPr>
        <w:rFonts w:ascii="Symbol" w:hAnsi="Symbol" w:hint="default"/>
      </w:rPr>
    </w:lvl>
    <w:lvl w:ilvl="7" w:tplc="3570799E">
      <w:start w:val="1"/>
      <w:numFmt w:val="bullet"/>
      <w:lvlText w:val="o"/>
      <w:lvlJc w:val="left"/>
      <w:pPr>
        <w:ind w:left="5760" w:hanging="360"/>
      </w:pPr>
      <w:rPr>
        <w:rFonts w:ascii="Courier New" w:hAnsi="Courier New" w:hint="default"/>
      </w:rPr>
    </w:lvl>
    <w:lvl w:ilvl="8" w:tplc="27E61C80">
      <w:start w:val="1"/>
      <w:numFmt w:val="bullet"/>
      <w:lvlText w:val=""/>
      <w:lvlJc w:val="left"/>
      <w:pPr>
        <w:ind w:left="6480" w:hanging="360"/>
      </w:pPr>
      <w:rPr>
        <w:rFonts w:ascii="Wingdings" w:hAnsi="Wingdings" w:hint="default"/>
      </w:rPr>
    </w:lvl>
  </w:abstractNum>
  <w:abstractNum w:abstractNumId="5" w15:restartNumberingAfterBreak="0">
    <w:nsid w:val="0D244655"/>
    <w:multiLevelType w:val="hybridMultilevel"/>
    <w:tmpl w:val="423A1D16"/>
    <w:lvl w:ilvl="0" w:tplc="3746EE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8F27A"/>
    <w:multiLevelType w:val="multilevel"/>
    <w:tmpl w:val="21E0F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107F30"/>
    <w:multiLevelType w:val="hybridMultilevel"/>
    <w:tmpl w:val="552A96F0"/>
    <w:lvl w:ilvl="0" w:tplc="FC8E8CF6">
      <w:start w:val="1"/>
      <w:numFmt w:val="bullet"/>
      <w:pStyle w:val="BulletLevel2"/>
      <w:lvlText w:val="o"/>
      <w:lvlJc w:val="left"/>
      <w:pPr>
        <w:ind w:left="135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AD17E92"/>
    <w:multiLevelType w:val="multilevel"/>
    <w:tmpl w:val="B478FF3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F41BFF"/>
    <w:multiLevelType w:val="multilevel"/>
    <w:tmpl w:val="5754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52978"/>
    <w:multiLevelType w:val="hybridMultilevel"/>
    <w:tmpl w:val="13A890D0"/>
    <w:lvl w:ilvl="0" w:tplc="19763920">
      <w:start w:val="1"/>
      <w:numFmt w:val="upperLetter"/>
      <w:lvlText w:val="%1."/>
      <w:lvlJc w:val="left"/>
      <w:pPr>
        <w:ind w:left="720" w:hanging="360"/>
      </w:pPr>
    </w:lvl>
    <w:lvl w:ilvl="1" w:tplc="D2FA62CC">
      <w:start w:val="1"/>
      <w:numFmt w:val="lowerLetter"/>
      <w:lvlText w:val="%2."/>
      <w:lvlJc w:val="left"/>
      <w:pPr>
        <w:ind w:left="1440" w:hanging="360"/>
      </w:pPr>
    </w:lvl>
    <w:lvl w:ilvl="2" w:tplc="87928A04">
      <w:start w:val="1"/>
      <w:numFmt w:val="lowerRoman"/>
      <w:lvlText w:val="%3."/>
      <w:lvlJc w:val="right"/>
      <w:pPr>
        <w:ind w:left="2160" w:hanging="180"/>
      </w:pPr>
    </w:lvl>
    <w:lvl w:ilvl="3" w:tplc="3032370E">
      <w:start w:val="1"/>
      <w:numFmt w:val="decimal"/>
      <w:lvlText w:val="%4."/>
      <w:lvlJc w:val="left"/>
      <w:pPr>
        <w:ind w:left="2880" w:hanging="360"/>
      </w:pPr>
    </w:lvl>
    <w:lvl w:ilvl="4" w:tplc="A3267C54">
      <w:start w:val="1"/>
      <w:numFmt w:val="lowerLetter"/>
      <w:lvlText w:val="%5."/>
      <w:lvlJc w:val="left"/>
      <w:pPr>
        <w:ind w:left="3600" w:hanging="360"/>
      </w:pPr>
    </w:lvl>
    <w:lvl w:ilvl="5" w:tplc="4060352A">
      <w:start w:val="1"/>
      <w:numFmt w:val="lowerRoman"/>
      <w:lvlText w:val="%6."/>
      <w:lvlJc w:val="right"/>
      <w:pPr>
        <w:ind w:left="4320" w:hanging="180"/>
      </w:pPr>
    </w:lvl>
    <w:lvl w:ilvl="6" w:tplc="1662EB98">
      <w:start w:val="1"/>
      <w:numFmt w:val="decimal"/>
      <w:lvlText w:val="%7."/>
      <w:lvlJc w:val="left"/>
      <w:pPr>
        <w:ind w:left="5040" w:hanging="360"/>
      </w:pPr>
    </w:lvl>
    <w:lvl w:ilvl="7" w:tplc="D77EA302">
      <w:start w:val="1"/>
      <w:numFmt w:val="lowerLetter"/>
      <w:lvlText w:val="%8."/>
      <w:lvlJc w:val="left"/>
      <w:pPr>
        <w:ind w:left="5760" w:hanging="360"/>
      </w:pPr>
    </w:lvl>
    <w:lvl w:ilvl="8" w:tplc="0A440FEE">
      <w:start w:val="1"/>
      <w:numFmt w:val="lowerRoman"/>
      <w:lvlText w:val="%9."/>
      <w:lvlJc w:val="right"/>
      <w:pPr>
        <w:ind w:left="6480" w:hanging="180"/>
      </w:pPr>
    </w:lvl>
  </w:abstractNum>
  <w:abstractNum w:abstractNumId="11" w15:restartNumberingAfterBreak="0">
    <w:nsid w:val="27D71E3B"/>
    <w:multiLevelType w:val="multilevel"/>
    <w:tmpl w:val="AF0292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FC5367"/>
    <w:multiLevelType w:val="multilevel"/>
    <w:tmpl w:val="B1CC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323615"/>
    <w:multiLevelType w:val="multilevel"/>
    <w:tmpl w:val="071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71DD4"/>
    <w:multiLevelType w:val="multilevel"/>
    <w:tmpl w:val="12A4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80206"/>
    <w:multiLevelType w:val="multilevel"/>
    <w:tmpl w:val="854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C12E2"/>
    <w:multiLevelType w:val="hybridMultilevel"/>
    <w:tmpl w:val="1B6EC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8C3768"/>
    <w:multiLevelType w:val="hybridMultilevel"/>
    <w:tmpl w:val="C1C2C9E2"/>
    <w:lvl w:ilvl="0" w:tplc="5ED6CA82">
      <w:start w:val="1"/>
      <w:numFmt w:val="bullet"/>
      <w:pStyle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ED27D9"/>
    <w:multiLevelType w:val="hybridMultilevel"/>
    <w:tmpl w:val="E45E9D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06F1E"/>
    <w:multiLevelType w:val="multilevel"/>
    <w:tmpl w:val="B478FF3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4DD4C62"/>
    <w:multiLevelType w:val="hybridMultilevel"/>
    <w:tmpl w:val="F7D8A3F6"/>
    <w:lvl w:ilvl="0" w:tplc="72FCCF72">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E237507"/>
    <w:multiLevelType w:val="hybridMultilevel"/>
    <w:tmpl w:val="A53C7B8E"/>
    <w:lvl w:ilvl="0" w:tplc="D3EEF220">
      <w:start w:val="1"/>
      <w:numFmt w:val="bullet"/>
      <w:lvlText w:val=""/>
      <w:lvlJc w:val="left"/>
      <w:pPr>
        <w:ind w:left="720" w:hanging="360"/>
      </w:pPr>
      <w:rPr>
        <w:rFonts w:ascii="Symbol" w:hAnsi="Symbol" w:cs="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B2AE0"/>
    <w:multiLevelType w:val="hybridMultilevel"/>
    <w:tmpl w:val="678826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27968C5"/>
    <w:multiLevelType w:val="hybridMultilevel"/>
    <w:tmpl w:val="37E0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77690C"/>
    <w:multiLevelType w:val="multilevel"/>
    <w:tmpl w:val="A00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5561ED"/>
    <w:multiLevelType w:val="hybridMultilevel"/>
    <w:tmpl w:val="26202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BF572E"/>
    <w:multiLevelType w:val="hybridMultilevel"/>
    <w:tmpl w:val="A754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403EA"/>
    <w:multiLevelType w:val="multilevel"/>
    <w:tmpl w:val="B478FF3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AD93943"/>
    <w:multiLevelType w:val="hybridMultilevel"/>
    <w:tmpl w:val="2FB6B3F0"/>
    <w:lvl w:ilvl="0" w:tplc="B5E6BE3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528331C"/>
    <w:multiLevelType w:val="multilevel"/>
    <w:tmpl w:val="0FB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410447"/>
    <w:multiLevelType w:val="multilevel"/>
    <w:tmpl w:val="8C16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A3CEE"/>
    <w:multiLevelType w:val="hybridMultilevel"/>
    <w:tmpl w:val="D034003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254B90"/>
    <w:multiLevelType w:val="hybridMultilevel"/>
    <w:tmpl w:val="226C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01357"/>
    <w:multiLevelType w:val="hybridMultilevel"/>
    <w:tmpl w:val="4B4047D2"/>
    <w:lvl w:ilvl="0" w:tplc="922C1D70">
      <w:start w:val="1"/>
      <w:numFmt w:val="bullet"/>
      <w:pStyle w:val="BulletLevel1"/>
      <w:lvlText w:val=""/>
      <w:lvlJc w:val="left"/>
      <w:pPr>
        <w:ind w:left="720" w:hanging="360"/>
      </w:pPr>
      <w:rPr>
        <w:rFonts w:ascii="Wingdings" w:hAnsi="Wingdings" w:hint="default"/>
        <w:color w:val="657C9C" w:themeColor="text2" w:themeTint="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13E31"/>
    <w:multiLevelType w:val="multilevel"/>
    <w:tmpl w:val="B478FF3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1A75C4"/>
    <w:multiLevelType w:val="hybridMultilevel"/>
    <w:tmpl w:val="74E6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E95"/>
    <w:multiLevelType w:val="hybridMultilevel"/>
    <w:tmpl w:val="518CBCB6"/>
    <w:styleLink w:val="LFO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6A323FD6"/>
    <w:multiLevelType w:val="multilevel"/>
    <w:tmpl w:val="677E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C55130"/>
    <w:multiLevelType w:val="hybridMultilevel"/>
    <w:tmpl w:val="ABD0E1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DCA354D"/>
    <w:multiLevelType w:val="hybridMultilevel"/>
    <w:tmpl w:val="196CB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760EF1"/>
    <w:multiLevelType w:val="hybridMultilevel"/>
    <w:tmpl w:val="913E5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DC05FC2">
      <w:numFmt w:val="bullet"/>
      <w:lvlText w:val="•"/>
      <w:lvlJc w:val="left"/>
      <w:pPr>
        <w:ind w:left="2160" w:hanging="36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431F5"/>
    <w:multiLevelType w:val="hybridMultilevel"/>
    <w:tmpl w:val="A808D2CE"/>
    <w:lvl w:ilvl="0" w:tplc="FFFFFFFF">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2" w15:restartNumberingAfterBreak="0">
    <w:nsid w:val="77833260"/>
    <w:multiLevelType w:val="hybridMultilevel"/>
    <w:tmpl w:val="A2C03302"/>
    <w:lvl w:ilvl="0" w:tplc="BB7C189C">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80111A0"/>
    <w:multiLevelType w:val="hybridMultilevel"/>
    <w:tmpl w:val="B3E6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16BCD"/>
    <w:multiLevelType w:val="multilevel"/>
    <w:tmpl w:val="A600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872AEE"/>
    <w:multiLevelType w:val="multilevel"/>
    <w:tmpl w:val="B478FF3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E107BF7"/>
    <w:multiLevelType w:val="multilevel"/>
    <w:tmpl w:val="208A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1916080">
    <w:abstractNumId w:val="4"/>
  </w:num>
  <w:num w:numId="2" w16cid:durableId="457913341">
    <w:abstractNumId w:val="6"/>
  </w:num>
  <w:num w:numId="3" w16cid:durableId="204682075">
    <w:abstractNumId w:val="7"/>
  </w:num>
  <w:num w:numId="4" w16cid:durableId="675306999">
    <w:abstractNumId w:val="33"/>
  </w:num>
  <w:num w:numId="5" w16cid:durableId="746726382">
    <w:abstractNumId w:val="17"/>
  </w:num>
  <w:num w:numId="6" w16cid:durableId="457378725">
    <w:abstractNumId w:val="36"/>
  </w:num>
  <w:num w:numId="7" w16cid:durableId="1593199287">
    <w:abstractNumId w:val="21"/>
  </w:num>
  <w:num w:numId="8" w16cid:durableId="1816681899">
    <w:abstractNumId w:val="16"/>
  </w:num>
  <w:num w:numId="9" w16cid:durableId="1407650724">
    <w:abstractNumId w:val="23"/>
  </w:num>
  <w:num w:numId="10" w16cid:durableId="1553618973">
    <w:abstractNumId w:val="1"/>
  </w:num>
  <w:num w:numId="11" w16cid:durableId="1171527196">
    <w:abstractNumId w:val="32"/>
  </w:num>
  <w:num w:numId="12" w16cid:durableId="343016355">
    <w:abstractNumId w:val="11"/>
  </w:num>
  <w:num w:numId="13" w16cid:durableId="642540880">
    <w:abstractNumId w:val="3"/>
  </w:num>
  <w:num w:numId="14" w16cid:durableId="1768425453">
    <w:abstractNumId w:val="18"/>
  </w:num>
  <w:num w:numId="15" w16cid:durableId="449669233">
    <w:abstractNumId w:val="40"/>
  </w:num>
  <w:num w:numId="16" w16cid:durableId="620578563">
    <w:abstractNumId w:val="43"/>
  </w:num>
  <w:num w:numId="17" w16cid:durableId="828717076">
    <w:abstractNumId w:val="5"/>
  </w:num>
  <w:num w:numId="18" w16cid:durableId="484904425">
    <w:abstractNumId w:val="26"/>
  </w:num>
  <w:num w:numId="19" w16cid:durableId="1666980716">
    <w:abstractNumId w:val="8"/>
  </w:num>
  <w:num w:numId="20" w16cid:durableId="562299716">
    <w:abstractNumId w:val="35"/>
  </w:num>
  <w:num w:numId="21" w16cid:durableId="1029453438">
    <w:abstractNumId w:val="13"/>
  </w:num>
  <w:num w:numId="22" w16cid:durableId="970750320">
    <w:abstractNumId w:val="29"/>
  </w:num>
  <w:num w:numId="23" w16cid:durableId="454298086">
    <w:abstractNumId w:val="30"/>
  </w:num>
  <w:num w:numId="24" w16cid:durableId="1916360752">
    <w:abstractNumId w:val="15"/>
  </w:num>
  <w:num w:numId="25" w16cid:durableId="1056276344">
    <w:abstractNumId w:val="39"/>
  </w:num>
  <w:num w:numId="26" w16cid:durableId="1181967346">
    <w:abstractNumId w:val="10"/>
  </w:num>
  <w:num w:numId="27" w16cid:durableId="1150712802">
    <w:abstractNumId w:val="22"/>
  </w:num>
  <w:num w:numId="28" w16cid:durableId="1637686644">
    <w:abstractNumId w:val="41"/>
  </w:num>
  <w:num w:numId="29" w16cid:durableId="1064991384">
    <w:abstractNumId w:val="31"/>
  </w:num>
  <w:num w:numId="30" w16cid:durableId="1785683802">
    <w:abstractNumId w:val="27"/>
  </w:num>
  <w:num w:numId="31" w16cid:durableId="1877156134">
    <w:abstractNumId w:val="28"/>
  </w:num>
  <w:num w:numId="32" w16cid:durableId="362170278">
    <w:abstractNumId w:val="45"/>
  </w:num>
  <w:num w:numId="33" w16cid:durableId="612907935">
    <w:abstractNumId w:val="19"/>
  </w:num>
  <w:num w:numId="34" w16cid:durableId="148250773">
    <w:abstractNumId w:val="20"/>
  </w:num>
  <w:num w:numId="35" w16cid:durableId="732049857">
    <w:abstractNumId w:val="34"/>
  </w:num>
  <w:num w:numId="36" w16cid:durableId="921524398">
    <w:abstractNumId w:val="25"/>
  </w:num>
  <w:num w:numId="37" w16cid:durableId="1566257048">
    <w:abstractNumId w:val="2"/>
  </w:num>
  <w:num w:numId="38" w16cid:durableId="1644002524">
    <w:abstractNumId w:val="42"/>
  </w:num>
  <w:num w:numId="39" w16cid:durableId="758913037">
    <w:abstractNumId w:val="38"/>
  </w:num>
  <w:num w:numId="40" w16cid:durableId="1712730747">
    <w:abstractNumId w:val="14"/>
  </w:num>
  <w:num w:numId="41" w16cid:durableId="450633759">
    <w:abstractNumId w:val="37"/>
  </w:num>
  <w:num w:numId="42" w16cid:durableId="1268732761">
    <w:abstractNumId w:val="12"/>
  </w:num>
  <w:num w:numId="43" w16cid:durableId="1398433072">
    <w:abstractNumId w:val="24"/>
  </w:num>
  <w:num w:numId="44" w16cid:durableId="1004435722">
    <w:abstractNumId w:val="46"/>
  </w:num>
  <w:num w:numId="45" w16cid:durableId="1432164463">
    <w:abstractNumId w:val="44"/>
  </w:num>
  <w:num w:numId="46" w16cid:durableId="1264458526">
    <w:abstractNumId w:val="9"/>
  </w:num>
  <w:num w:numId="47" w16cid:durableId="122768697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F9"/>
    <w:rsid w:val="00000462"/>
    <w:rsid w:val="00000CE5"/>
    <w:rsid w:val="00001143"/>
    <w:rsid w:val="000029EF"/>
    <w:rsid w:val="00002D7F"/>
    <w:rsid w:val="00002E4F"/>
    <w:rsid w:val="000030BE"/>
    <w:rsid w:val="00003E80"/>
    <w:rsid w:val="00006192"/>
    <w:rsid w:val="00006199"/>
    <w:rsid w:val="00006856"/>
    <w:rsid w:val="000069BE"/>
    <w:rsid w:val="0000793F"/>
    <w:rsid w:val="00007C7E"/>
    <w:rsid w:val="00010015"/>
    <w:rsid w:val="00010029"/>
    <w:rsid w:val="0001188C"/>
    <w:rsid w:val="00013501"/>
    <w:rsid w:val="000135E3"/>
    <w:rsid w:val="00013F22"/>
    <w:rsid w:val="00015BD4"/>
    <w:rsid w:val="00016487"/>
    <w:rsid w:val="000165D7"/>
    <w:rsid w:val="0001662F"/>
    <w:rsid w:val="00016925"/>
    <w:rsid w:val="00017F23"/>
    <w:rsid w:val="00020BC2"/>
    <w:rsid w:val="00022F7D"/>
    <w:rsid w:val="000241C9"/>
    <w:rsid w:val="000244D2"/>
    <w:rsid w:val="00024588"/>
    <w:rsid w:val="00024F25"/>
    <w:rsid w:val="00025A8E"/>
    <w:rsid w:val="000272A1"/>
    <w:rsid w:val="00027C21"/>
    <w:rsid w:val="00033111"/>
    <w:rsid w:val="00033DAA"/>
    <w:rsid w:val="00036F0C"/>
    <w:rsid w:val="0003742B"/>
    <w:rsid w:val="00037CBA"/>
    <w:rsid w:val="00037D68"/>
    <w:rsid w:val="0004157D"/>
    <w:rsid w:val="000417AE"/>
    <w:rsid w:val="00042D5F"/>
    <w:rsid w:val="00043287"/>
    <w:rsid w:val="000434F4"/>
    <w:rsid w:val="000436FE"/>
    <w:rsid w:val="00043B24"/>
    <w:rsid w:val="00043B7C"/>
    <w:rsid w:val="000450BB"/>
    <w:rsid w:val="00045558"/>
    <w:rsid w:val="0004645E"/>
    <w:rsid w:val="00050C23"/>
    <w:rsid w:val="00051A04"/>
    <w:rsid w:val="00051B17"/>
    <w:rsid w:val="00051D8C"/>
    <w:rsid w:val="0005249A"/>
    <w:rsid w:val="0005258F"/>
    <w:rsid w:val="00052802"/>
    <w:rsid w:val="0005288E"/>
    <w:rsid w:val="000533DD"/>
    <w:rsid w:val="00054D61"/>
    <w:rsid w:val="0005518D"/>
    <w:rsid w:val="000560B7"/>
    <w:rsid w:val="00057887"/>
    <w:rsid w:val="00057BC4"/>
    <w:rsid w:val="000609CC"/>
    <w:rsid w:val="00060DB8"/>
    <w:rsid w:val="00063212"/>
    <w:rsid w:val="00065399"/>
    <w:rsid w:val="00065E61"/>
    <w:rsid w:val="00067347"/>
    <w:rsid w:val="00067845"/>
    <w:rsid w:val="00067B2B"/>
    <w:rsid w:val="0007022D"/>
    <w:rsid w:val="00070616"/>
    <w:rsid w:val="000706D6"/>
    <w:rsid w:val="00073D5F"/>
    <w:rsid w:val="00074190"/>
    <w:rsid w:val="0007488A"/>
    <w:rsid w:val="00076722"/>
    <w:rsid w:val="00076B3A"/>
    <w:rsid w:val="00076D12"/>
    <w:rsid w:val="00077ED6"/>
    <w:rsid w:val="00081404"/>
    <w:rsid w:val="000819B6"/>
    <w:rsid w:val="00081A0F"/>
    <w:rsid w:val="00081E02"/>
    <w:rsid w:val="00081EB8"/>
    <w:rsid w:val="00081F28"/>
    <w:rsid w:val="000821A8"/>
    <w:rsid w:val="000823E6"/>
    <w:rsid w:val="000834EC"/>
    <w:rsid w:val="00084213"/>
    <w:rsid w:val="000844FB"/>
    <w:rsid w:val="00084DDB"/>
    <w:rsid w:val="00085780"/>
    <w:rsid w:val="000862E1"/>
    <w:rsid w:val="00086E36"/>
    <w:rsid w:val="00087E4E"/>
    <w:rsid w:val="000884A7"/>
    <w:rsid w:val="000920B7"/>
    <w:rsid w:val="0009221A"/>
    <w:rsid w:val="0009276E"/>
    <w:rsid w:val="000931F1"/>
    <w:rsid w:val="0009415E"/>
    <w:rsid w:val="00096A2E"/>
    <w:rsid w:val="00096D53"/>
    <w:rsid w:val="000976D2"/>
    <w:rsid w:val="00097881"/>
    <w:rsid w:val="00097F01"/>
    <w:rsid w:val="000A1A76"/>
    <w:rsid w:val="000A3983"/>
    <w:rsid w:val="000A40D6"/>
    <w:rsid w:val="000A4135"/>
    <w:rsid w:val="000A4156"/>
    <w:rsid w:val="000A5E85"/>
    <w:rsid w:val="000A6787"/>
    <w:rsid w:val="000A6E60"/>
    <w:rsid w:val="000B1B0F"/>
    <w:rsid w:val="000B24CB"/>
    <w:rsid w:val="000B2F8B"/>
    <w:rsid w:val="000B33D2"/>
    <w:rsid w:val="000B33D3"/>
    <w:rsid w:val="000B370E"/>
    <w:rsid w:val="000B371F"/>
    <w:rsid w:val="000B4706"/>
    <w:rsid w:val="000B5BF6"/>
    <w:rsid w:val="000B750E"/>
    <w:rsid w:val="000B7514"/>
    <w:rsid w:val="000C0683"/>
    <w:rsid w:val="000C08EF"/>
    <w:rsid w:val="000C2D02"/>
    <w:rsid w:val="000C2E24"/>
    <w:rsid w:val="000C2FF0"/>
    <w:rsid w:val="000C3A45"/>
    <w:rsid w:val="000C42D4"/>
    <w:rsid w:val="000C5482"/>
    <w:rsid w:val="000C5C3C"/>
    <w:rsid w:val="000C5F44"/>
    <w:rsid w:val="000C623A"/>
    <w:rsid w:val="000C75A8"/>
    <w:rsid w:val="000C7686"/>
    <w:rsid w:val="000D0B77"/>
    <w:rsid w:val="000D0BE8"/>
    <w:rsid w:val="000D1CFD"/>
    <w:rsid w:val="000D3A97"/>
    <w:rsid w:val="000D48CE"/>
    <w:rsid w:val="000D53A8"/>
    <w:rsid w:val="000D597B"/>
    <w:rsid w:val="000D6FC9"/>
    <w:rsid w:val="000D7F7A"/>
    <w:rsid w:val="000E00F4"/>
    <w:rsid w:val="000E1143"/>
    <w:rsid w:val="000E167B"/>
    <w:rsid w:val="000E2F7E"/>
    <w:rsid w:val="000E356D"/>
    <w:rsid w:val="000E40A8"/>
    <w:rsid w:val="000E439F"/>
    <w:rsid w:val="000E5475"/>
    <w:rsid w:val="000E5B1A"/>
    <w:rsid w:val="000E5F0C"/>
    <w:rsid w:val="000E6BBC"/>
    <w:rsid w:val="000E70BD"/>
    <w:rsid w:val="000E7683"/>
    <w:rsid w:val="000E79E9"/>
    <w:rsid w:val="000E7D48"/>
    <w:rsid w:val="000E7D90"/>
    <w:rsid w:val="000F083D"/>
    <w:rsid w:val="000F11D7"/>
    <w:rsid w:val="000F2EA2"/>
    <w:rsid w:val="000F32A1"/>
    <w:rsid w:val="000F5E3F"/>
    <w:rsid w:val="000F6F2B"/>
    <w:rsid w:val="000F7740"/>
    <w:rsid w:val="00100A88"/>
    <w:rsid w:val="00100FC1"/>
    <w:rsid w:val="00101035"/>
    <w:rsid w:val="0010180D"/>
    <w:rsid w:val="00103449"/>
    <w:rsid w:val="0010546B"/>
    <w:rsid w:val="001054FE"/>
    <w:rsid w:val="00106717"/>
    <w:rsid w:val="0010675D"/>
    <w:rsid w:val="00106C60"/>
    <w:rsid w:val="00110B9D"/>
    <w:rsid w:val="001118DC"/>
    <w:rsid w:val="00111C5E"/>
    <w:rsid w:val="00111CBE"/>
    <w:rsid w:val="00112015"/>
    <w:rsid w:val="00113414"/>
    <w:rsid w:val="00114109"/>
    <w:rsid w:val="0011533B"/>
    <w:rsid w:val="00116C9C"/>
    <w:rsid w:val="00117040"/>
    <w:rsid w:val="001177CE"/>
    <w:rsid w:val="0012043F"/>
    <w:rsid w:val="001206B6"/>
    <w:rsid w:val="00121386"/>
    <w:rsid w:val="00123611"/>
    <w:rsid w:val="0012416D"/>
    <w:rsid w:val="00124356"/>
    <w:rsid w:val="001245B5"/>
    <w:rsid w:val="00124EAD"/>
    <w:rsid w:val="00125049"/>
    <w:rsid w:val="00125A8C"/>
    <w:rsid w:val="00126087"/>
    <w:rsid w:val="00127382"/>
    <w:rsid w:val="0013041F"/>
    <w:rsid w:val="00130B62"/>
    <w:rsid w:val="001312F8"/>
    <w:rsid w:val="0013180F"/>
    <w:rsid w:val="0013277D"/>
    <w:rsid w:val="00132B6C"/>
    <w:rsid w:val="00133C81"/>
    <w:rsid w:val="00134AEE"/>
    <w:rsid w:val="0013525A"/>
    <w:rsid w:val="00136B57"/>
    <w:rsid w:val="00137194"/>
    <w:rsid w:val="001373D4"/>
    <w:rsid w:val="00137688"/>
    <w:rsid w:val="00137724"/>
    <w:rsid w:val="0014087E"/>
    <w:rsid w:val="00140BC8"/>
    <w:rsid w:val="00140E3F"/>
    <w:rsid w:val="00141205"/>
    <w:rsid w:val="0014154E"/>
    <w:rsid w:val="00141C9E"/>
    <w:rsid w:val="001425CB"/>
    <w:rsid w:val="001430A6"/>
    <w:rsid w:val="00143F71"/>
    <w:rsid w:val="00144C44"/>
    <w:rsid w:val="00145568"/>
    <w:rsid w:val="0014563F"/>
    <w:rsid w:val="001465F8"/>
    <w:rsid w:val="00146BCC"/>
    <w:rsid w:val="00147CAC"/>
    <w:rsid w:val="00150556"/>
    <w:rsid w:val="0015081F"/>
    <w:rsid w:val="001509EC"/>
    <w:rsid w:val="001520BC"/>
    <w:rsid w:val="00152791"/>
    <w:rsid w:val="00152C7B"/>
    <w:rsid w:val="00152CB6"/>
    <w:rsid w:val="0015443A"/>
    <w:rsid w:val="00154DBF"/>
    <w:rsid w:val="001567D3"/>
    <w:rsid w:val="001575B8"/>
    <w:rsid w:val="001575F7"/>
    <w:rsid w:val="00157D6D"/>
    <w:rsid w:val="0016014E"/>
    <w:rsid w:val="00160454"/>
    <w:rsid w:val="001616AC"/>
    <w:rsid w:val="001639D8"/>
    <w:rsid w:val="00163DAF"/>
    <w:rsid w:val="00163F21"/>
    <w:rsid w:val="0016555D"/>
    <w:rsid w:val="00165765"/>
    <w:rsid w:val="00165CCD"/>
    <w:rsid w:val="00166279"/>
    <w:rsid w:val="001670E5"/>
    <w:rsid w:val="00167432"/>
    <w:rsid w:val="00167FDB"/>
    <w:rsid w:val="001700B3"/>
    <w:rsid w:val="0017075E"/>
    <w:rsid w:val="00171066"/>
    <w:rsid w:val="001710E7"/>
    <w:rsid w:val="001721D4"/>
    <w:rsid w:val="00173CCA"/>
    <w:rsid w:val="00173F1D"/>
    <w:rsid w:val="0017468B"/>
    <w:rsid w:val="0017473E"/>
    <w:rsid w:val="00174D4B"/>
    <w:rsid w:val="00175954"/>
    <w:rsid w:val="00176620"/>
    <w:rsid w:val="0018002C"/>
    <w:rsid w:val="00180C38"/>
    <w:rsid w:val="00180E8D"/>
    <w:rsid w:val="00181281"/>
    <w:rsid w:val="00183110"/>
    <w:rsid w:val="00183486"/>
    <w:rsid w:val="00183AD7"/>
    <w:rsid w:val="001845AF"/>
    <w:rsid w:val="00185385"/>
    <w:rsid w:val="001853A5"/>
    <w:rsid w:val="00185E93"/>
    <w:rsid w:val="00186249"/>
    <w:rsid w:val="00186AB4"/>
    <w:rsid w:val="00186D06"/>
    <w:rsid w:val="00186D57"/>
    <w:rsid w:val="001877A9"/>
    <w:rsid w:val="00187A35"/>
    <w:rsid w:val="00190CAB"/>
    <w:rsid w:val="001913FE"/>
    <w:rsid w:val="00191782"/>
    <w:rsid w:val="00191D74"/>
    <w:rsid w:val="00193112"/>
    <w:rsid w:val="00195B68"/>
    <w:rsid w:val="0019671A"/>
    <w:rsid w:val="001977B8"/>
    <w:rsid w:val="00197EF1"/>
    <w:rsid w:val="001A158C"/>
    <w:rsid w:val="001A15F3"/>
    <w:rsid w:val="001A2018"/>
    <w:rsid w:val="001A3318"/>
    <w:rsid w:val="001A4709"/>
    <w:rsid w:val="001A48AB"/>
    <w:rsid w:val="001A593F"/>
    <w:rsid w:val="001A61C2"/>
    <w:rsid w:val="001A6D04"/>
    <w:rsid w:val="001A7727"/>
    <w:rsid w:val="001A7D82"/>
    <w:rsid w:val="001B0547"/>
    <w:rsid w:val="001B13C3"/>
    <w:rsid w:val="001B20C5"/>
    <w:rsid w:val="001B2EE2"/>
    <w:rsid w:val="001B418C"/>
    <w:rsid w:val="001B41F5"/>
    <w:rsid w:val="001B4514"/>
    <w:rsid w:val="001B45F2"/>
    <w:rsid w:val="001B4B35"/>
    <w:rsid w:val="001B501A"/>
    <w:rsid w:val="001B7D1A"/>
    <w:rsid w:val="001C1AC9"/>
    <w:rsid w:val="001C3738"/>
    <w:rsid w:val="001C3B31"/>
    <w:rsid w:val="001C41AA"/>
    <w:rsid w:val="001C5358"/>
    <w:rsid w:val="001C74B3"/>
    <w:rsid w:val="001D0896"/>
    <w:rsid w:val="001D0CB8"/>
    <w:rsid w:val="001D0E1E"/>
    <w:rsid w:val="001D1029"/>
    <w:rsid w:val="001D18BF"/>
    <w:rsid w:val="001D1E9A"/>
    <w:rsid w:val="001D23F4"/>
    <w:rsid w:val="001D25B9"/>
    <w:rsid w:val="001D2B65"/>
    <w:rsid w:val="001D2F7C"/>
    <w:rsid w:val="001D2FC2"/>
    <w:rsid w:val="001D49B7"/>
    <w:rsid w:val="001D4AFF"/>
    <w:rsid w:val="001D4DC0"/>
    <w:rsid w:val="001D58B8"/>
    <w:rsid w:val="001D62D9"/>
    <w:rsid w:val="001D6330"/>
    <w:rsid w:val="001E0944"/>
    <w:rsid w:val="001E0A05"/>
    <w:rsid w:val="001E2CE5"/>
    <w:rsid w:val="001E3929"/>
    <w:rsid w:val="001E4781"/>
    <w:rsid w:val="001E4785"/>
    <w:rsid w:val="001E4FD9"/>
    <w:rsid w:val="001F0B13"/>
    <w:rsid w:val="001F0C3F"/>
    <w:rsid w:val="001F1123"/>
    <w:rsid w:val="001F2873"/>
    <w:rsid w:val="001F3E74"/>
    <w:rsid w:val="001F508C"/>
    <w:rsid w:val="001F5DE1"/>
    <w:rsid w:val="001F71DF"/>
    <w:rsid w:val="001F7850"/>
    <w:rsid w:val="00200A3B"/>
    <w:rsid w:val="00200AE6"/>
    <w:rsid w:val="00200DE3"/>
    <w:rsid w:val="00200E37"/>
    <w:rsid w:val="00201377"/>
    <w:rsid w:val="00202DF3"/>
    <w:rsid w:val="0020380A"/>
    <w:rsid w:val="0020411F"/>
    <w:rsid w:val="00204A8A"/>
    <w:rsid w:val="00205BB7"/>
    <w:rsid w:val="00206194"/>
    <w:rsid w:val="00207A42"/>
    <w:rsid w:val="002100BA"/>
    <w:rsid w:val="00211279"/>
    <w:rsid w:val="00211A8F"/>
    <w:rsid w:val="002127AC"/>
    <w:rsid w:val="002128AE"/>
    <w:rsid w:val="00212BB7"/>
    <w:rsid w:val="00213187"/>
    <w:rsid w:val="00213320"/>
    <w:rsid w:val="00213A4D"/>
    <w:rsid w:val="00213B49"/>
    <w:rsid w:val="00213CC6"/>
    <w:rsid w:val="0021492E"/>
    <w:rsid w:val="0021586B"/>
    <w:rsid w:val="0021596D"/>
    <w:rsid w:val="00216D58"/>
    <w:rsid w:val="00217C7D"/>
    <w:rsid w:val="00217F90"/>
    <w:rsid w:val="002201C6"/>
    <w:rsid w:val="002208D4"/>
    <w:rsid w:val="0022165C"/>
    <w:rsid w:val="00222C28"/>
    <w:rsid w:val="00223177"/>
    <w:rsid w:val="00224830"/>
    <w:rsid w:val="00224847"/>
    <w:rsid w:val="0022503F"/>
    <w:rsid w:val="00225585"/>
    <w:rsid w:val="0022558B"/>
    <w:rsid w:val="00225EB0"/>
    <w:rsid w:val="0022704B"/>
    <w:rsid w:val="002273B8"/>
    <w:rsid w:val="00227C4F"/>
    <w:rsid w:val="002313A0"/>
    <w:rsid w:val="002328B6"/>
    <w:rsid w:val="00232AE6"/>
    <w:rsid w:val="00232D5C"/>
    <w:rsid w:val="00234C56"/>
    <w:rsid w:val="00234E1F"/>
    <w:rsid w:val="00234E83"/>
    <w:rsid w:val="002354BD"/>
    <w:rsid w:val="00236361"/>
    <w:rsid w:val="002372DC"/>
    <w:rsid w:val="002373F2"/>
    <w:rsid w:val="00237F0F"/>
    <w:rsid w:val="00240988"/>
    <w:rsid w:val="0024134A"/>
    <w:rsid w:val="002413FC"/>
    <w:rsid w:val="0024180D"/>
    <w:rsid w:val="0024189F"/>
    <w:rsid w:val="00241C59"/>
    <w:rsid w:val="0024269F"/>
    <w:rsid w:val="0024280F"/>
    <w:rsid w:val="00242BA7"/>
    <w:rsid w:val="00242F6F"/>
    <w:rsid w:val="00243F00"/>
    <w:rsid w:val="0024467F"/>
    <w:rsid w:val="0024588D"/>
    <w:rsid w:val="00246339"/>
    <w:rsid w:val="002478B8"/>
    <w:rsid w:val="00247E9C"/>
    <w:rsid w:val="002507F9"/>
    <w:rsid w:val="00252DD1"/>
    <w:rsid w:val="00253173"/>
    <w:rsid w:val="00253DAB"/>
    <w:rsid w:val="00254333"/>
    <w:rsid w:val="00255C1C"/>
    <w:rsid w:val="002566F6"/>
    <w:rsid w:val="00257227"/>
    <w:rsid w:val="00257653"/>
    <w:rsid w:val="00260099"/>
    <w:rsid w:val="00260233"/>
    <w:rsid w:val="00260E7C"/>
    <w:rsid w:val="00262B40"/>
    <w:rsid w:val="00262B43"/>
    <w:rsid w:val="00262CFC"/>
    <w:rsid w:val="002658B5"/>
    <w:rsid w:val="002662C0"/>
    <w:rsid w:val="002673E5"/>
    <w:rsid w:val="0026776B"/>
    <w:rsid w:val="00267D85"/>
    <w:rsid w:val="00270DCF"/>
    <w:rsid w:val="00271591"/>
    <w:rsid w:val="002716F1"/>
    <w:rsid w:val="00271896"/>
    <w:rsid w:val="00272439"/>
    <w:rsid w:val="00273AC8"/>
    <w:rsid w:val="00274C6E"/>
    <w:rsid w:val="00274E0D"/>
    <w:rsid w:val="00276AAE"/>
    <w:rsid w:val="00277546"/>
    <w:rsid w:val="00277EFB"/>
    <w:rsid w:val="002821E4"/>
    <w:rsid w:val="00282DC8"/>
    <w:rsid w:val="00283527"/>
    <w:rsid w:val="00284AF9"/>
    <w:rsid w:val="0028512F"/>
    <w:rsid w:val="002852A6"/>
    <w:rsid w:val="00285F12"/>
    <w:rsid w:val="0028627E"/>
    <w:rsid w:val="00286297"/>
    <w:rsid w:val="00287022"/>
    <w:rsid w:val="002903AB"/>
    <w:rsid w:val="00291B8D"/>
    <w:rsid w:val="00292174"/>
    <w:rsid w:val="0029317D"/>
    <w:rsid w:val="0029425C"/>
    <w:rsid w:val="0029468F"/>
    <w:rsid w:val="00294F3E"/>
    <w:rsid w:val="00295A02"/>
    <w:rsid w:val="00295CC3"/>
    <w:rsid w:val="00295E6E"/>
    <w:rsid w:val="00296440"/>
    <w:rsid w:val="00297935"/>
    <w:rsid w:val="002A0DCD"/>
    <w:rsid w:val="002A14FE"/>
    <w:rsid w:val="002A1AA3"/>
    <w:rsid w:val="002A1AF0"/>
    <w:rsid w:val="002A1ED6"/>
    <w:rsid w:val="002A232A"/>
    <w:rsid w:val="002A4462"/>
    <w:rsid w:val="002A5046"/>
    <w:rsid w:val="002A50F6"/>
    <w:rsid w:val="002A5578"/>
    <w:rsid w:val="002A5A3D"/>
    <w:rsid w:val="002A5A4C"/>
    <w:rsid w:val="002A5F7C"/>
    <w:rsid w:val="002A63F3"/>
    <w:rsid w:val="002A6F7F"/>
    <w:rsid w:val="002A7299"/>
    <w:rsid w:val="002B00A3"/>
    <w:rsid w:val="002B0811"/>
    <w:rsid w:val="002B1577"/>
    <w:rsid w:val="002B255D"/>
    <w:rsid w:val="002B3FC4"/>
    <w:rsid w:val="002B5AD0"/>
    <w:rsid w:val="002B5D24"/>
    <w:rsid w:val="002BC9FB"/>
    <w:rsid w:val="002C0508"/>
    <w:rsid w:val="002C21D2"/>
    <w:rsid w:val="002C25AB"/>
    <w:rsid w:val="002C2C8C"/>
    <w:rsid w:val="002C2D93"/>
    <w:rsid w:val="002C36A5"/>
    <w:rsid w:val="002C4427"/>
    <w:rsid w:val="002C48F3"/>
    <w:rsid w:val="002C4CD8"/>
    <w:rsid w:val="002C6C69"/>
    <w:rsid w:val="002C7337"/>
    <w:rsid w:val="002D0013"/>
    <w:rsid w:val="002D0FC4"/>
    <w:rsid w:val="002D1AF8"/>
    <w:rsid w:val="002D1C57"/>
    <w:rsid w:val="002D22F7"/>
    <w:rsid w:val="002D2F20"/>
    <w:rsid w:val="002D4719"/>
    <w:rsid w:val="002D4D28"/>
    <w:rsid w:val="002D57B0"/>
    <w:rsid w:val="002D5E60"/>
    <w:rsid w:val="002D62DF"/>
    <w:rsid w:val="002D73B3"/>
    <w:rsid w:val="002D7509"/>
    <w:rsid w:val="002E0D54"/>
    <w:rsid w:val="002E19CF"/>
    <w:rsid w:val="002E2740"/>
    <w:rsid w:val="002E4368"/>
    <w:rsid w:val="002E5564"/>
    <w:rsid w:val="002E5979"/>
    <w:rsid w:val="002E711E"/>
    <w:rsid w:val="002E7A4F"/>
    <w:rsid w:val="002F147D"/>
    <w:rsid w:val="002F34E3"/>
    <w:rsid w:val="002F372E"/>
    <w:rsid w:val="002F3F1A"/>
    <w:rsid w:val="002F5D97"/>
    <w:rsid w:val="002F63DF"/>
    <w:rsid w:val="00301B2B"/>
    <w:rsid w:val="00302A16"/>
    <w:rsid w:val="00303418"/>
    <w:rsid w:val="003062E0"/>
    <w:rsid w:val="00306915"/>
    <w:rsid w:val="0030762B"/>
    <w:rsid w:val="00307645"/>
    <w:rsid w:val="003102AA"/>
    <w:rsid w:val="00310A9C"/>
    <w:rsid w:val="00310BC1"/>
    <w:rsid w:val="00310D01"/>
    <w:rsid w:val="00310E5D"/>
    <w:rsid w:val="00311523"/>
    <w:rsid w:val="00311A8E"/>
    <w:rsid w:val="00313624"/>
    <w:rsid w:val="0031430B"/>
    <w:rsid w:val="003165C0"/>
    <w:rsid w:val="003165CF"/>
    <w:rsid w:val="003169F7"/>
    <w:rsid w:val="00317629"/>
    <w:rsid w:val="003203BC"/>
    <w:rsid w:val="00320522"/>
    <w:rsid w:val="00320704"/>
    <w:rsid w:val="003212CC"/>
    <w:rsid w:val="003213D9"/>
    <w:rsid w:val="003247AE"/>
    <w:rsid w:val="00325998"/>
    <w:rsid w:val="0032609B"/>
    <w:rsid w:val="00326116"/>
    <w:rsid w:val="003263A3"/>
    <w:rsid w:val="00326F08"/>
    <w:rsid w:val="0032783E"/>
    <w:rsid w:val="003309B8"/>
    <w:rsid w:val="00330F3E"/>
    <w:rsid w:val="0033120E"/>
    <w:rsid w:val="00331BB9"/>
    <w:rsid w:val="003342DB"/>
    <w:rsid w:val="003343CB"/>
    <w:rsid w:val="00334594"/>
    <w:rsid w:val="003352D0"/>
    <w:rsid w:val="00335F82"/>
    <w:rsid w:val="00336908"/>
    <w:rsid w:val="003371BE"/>
    <w:rsid w:val="00340A6A"/>
    <w:rsid w:val="003428B3"/>
    <w:rsid w:val="00342B82"/>
    <w:rsid w:val="00345CAA"/>
    <w:rsid w:val="00345F92"/>
    <w:rsid w:val="00346ABF"/>
    <w:rsid w:val="00347303"/>
    <w:rsid w:val="00347438"/>
    <w:rsid w:val="003476AB"/>
    <w:rsid w:val="003476E9"/>
    <w:rsid w:val="00347710"/>
    <w:rsid w:val="00350FC2"/>
    <w:rsid w:val="003520D2"/>
    <w:rsid w:val="00352819"/>
    <w:rsid w:val="00352A29"/>
    <w:rsid w:val="00352C7A"/>
    <w:rsid w:val="00353445"/>
    <w:rsid w:val="00353D65"/>
    <w:rsid w:val="00354299"/>
    <w:rsid w:val="003547E0"/>
    <w:rsid w:val="00354DEE"/>
    <w:rsid w:val="003568E8"/>
    <w:rsid w:val="003572D3"/>
    <w:rsid w:val="00357653"/>
    <w:rsid w:val="00357896"/>
    <w:rsid w:val="00357CFC"/>
    <w:rsid w:val="00360228"/>
    <w:rsid w:val="00360259"/>
    <w:rsid w:val="00360526"/>
    <w:rsid w:val="003607BA"/>
    <w:rsid w:val="00360A68"/>
    <w:rsid w:val="00360E2D"/>
    <w:rsid w:val="00361939"/>
    <w:rsid w:val="00361F86"/>
    <w:rsid w:val="003623FF"/>
    <w:rsid w:val="00362406"/>
    <w:rsid w:val="00363175"/>
    <w:rsid w:val="00364F43"/>
    <w:rsid w:val="003659C0"/>
    <w:rsid w:val="003664CC"/>
    <w:rsid w:val="00367D17"/>
    <w:rsid w:val="0037054E"/>
    <w:rsid w:val="00371C16"/>
    <w:rsid w:val="00371E7D"/>
    <w:rsid w:val="003724EE"/>
    <w:rsid w:val="003733E7"/>
    <w:rsid w:val="00374E43"/>
    <w:rsid w:val="00375E1E"/>
    <w:rsid w:val="003776DF"/>
    <w:rsid w:val="00380449"/>
    <w:rsid w:val="0038090C"/>
    <w:rsid w:val="00381F7B"/>
    <w:rsid w:val="0038232C"/>
    <w:rsid w:val="00382877"/>
    <w:rsid w:val="003839DE"/>
    <w:rsid w:val="003842B8"/>
    <w:rsid w:val="00384498"/>
    <w:rsid w:val="0038521B"/>
    <w:rsid w:val="0038531B"/>
    <w:rsid w:val="003856E6"/>
    <w:rsid w:val="00386088"/>
    <w:rsid w:val="00386129"/>
    <w:rsid w:val="003868F0"/>
    <w:rsid w:val="0038719B"/>
    <w:rsid w:val="00387DFD"/>
    <w:rsid w:val="0039152C"/>
    <w:rsid w:val="003919B0"/>
    <w:rsid w:val="003919F6"/>
    <w:rsid w:val="00392944"/>
    <w:rsid w:val="003930AE"/>
    <w:rsid w:val="00393422"/>
    <w:rsid w:val="0039346F"/>
    <w:rsid w:val="00393E30"/>
    <w:rsid w:val="003946BF"/>
    <w:rsid w:val="00394720"/>
    <w:rsid w:val="00395A55"/>
    <w:rsid w:val="00396532"/>
    <w:rsid w:val="00396C4C"/>
    <w:rsid w:val="00397456"/>
    <w:rsid w:val="003A07CB"/>
    <w:rsid w:val="003A126E"/>
    <w:rsid w:val="003A1831"/>
    <w:rsid w:val="003A1E6E"/>
    <w:rsid w:val="003A2CC4"/>
    <w:rsid w:val="003A3948"/>
    <w:rsid w:val="003A42D4"/>
    <w:rsid w:val="003A4DAC"/>
    <w:rsid w:val="003A50EF"/>
    <w:rsid w:val="003A57F9"/>
    <w:rsid w:val="003A69F2"/>
    <w:rsid w:val="003A72E7"/>
    <w:rsid w:val="003B116E"/>
    <w:rsid w:val="003B1402"/>
    <w:rsid w:val="003B2FD7"/>
    <w:rsid w:val="003B37F0"/>
    <w:rsid w:val="003B4FAA"/>
    <w:rsid w:val="003B54F5"/>
    <w:rsid w:val="003B5693"/>
    <w:rsid w:val="003B5913"/>
    <w:rsid w:val="003B6DF3"/>
    <w:rsid w:val="003B71B7"/>
    <w:rsid w:val="003B779F"/>
    <w:rsid w:val="003C1076"/>
    <w:rsid w:val="003C14DA"/>
    <w:rsid w:val="003C2105"/>
    <w:rsid w:val="003C3D70"/>
    <w:rsid w:val="003C4B3E"/>
    <w:rsid w:val="003C4BBF"/>
    <w:rsid w:val="003C4CCB"/>
    <w:rsid w:val="003C5AC5"/>
    <w:rsid w:val="003C6DED"/>
    <w:rsid w:val="003C6E29"/>
    <w:rsid w:val="003C7036"/>
    <w:rsid w:val="003C7C84"/>
    <w:rsid w:val="003D096E"/>
    <w:rsid w:val="003D0EBF"/>
    <w:rsid w:val="003D131F"/>
    <w:rsid w:val="003D160B"/>
    <w:rsid w:val="003D1E54"/>
    <w:rsid w:val="003D41B8"/>
    <w:rsid w:val="003D4770"/>
    <w:rsid w:val="003D5039"/>
    <w:rsid w:val="003D505E"/>
    <w:rsid w:val="003D5D1E"/>
    <w:rsid w:val="003D6BB0"/>
    <w:rsid w:val="003D6EA6"/>
    <w:rsid w:val="003E1582"/>
    <w:rsid w:val="003E24C0"/>
    <w:rsid w:val="003E254F"/>
    <w:rsid w:val="003E2EB5"/>
    <w:rsid w:val="003E393D"/>
    <w:rsid w:val="003E3A73"/>
    <w:rsid w:val="003E5078"/>
    <w:rsid w:val="003E5361"/>
    <w:rsid w:val="003E5C46"/>
    <w:rsid w:val="003E638A"/>
    <w:rsid w:val="003E6A5B"/>
    <w:rsid w:val="003E6D65"/>
    <w:rsid w:val="003E7B2F"/>
    <w:rsid w:val="003F04A6"/>
    <w:rsid w:val="003F0FEC"/>
    <w:rsid w:val="003F1F05"/>
    <w:rsid w:val="003F1F3E"/>
    <w:rsid w:val="003F2E1A"/>
    <w:rsid w:val="003F2EE6"/>
    <w:rsid w:val="003F3AFF"/>
    <w:rsid w:val="003F537D"/>
    <w:rsid w:val="0040059B"/>
    <w:rsid w:val="00401CE3"/>
    <w:rsid w:val="00402789"/>
    <w:rsid w:val="00402A83"/>
    <w:rsid w:val="00402CD2"/>
    <w:rsid w:val="00404338"/>
    <w:rsid w:val="0040585C"/>
    <w:rsid w:val="0040647C"/>
    <w:rsid w:val="00406B6C"/>
    <w:rsid w:val="00407060"/>
    <w:rsid w:val="004117A1"/>
    <w:rsid w:val="00411C54"/>
    <w:rsid w:val="00412118"/>
    <w:rsid w:val="004129DA"/>
    <w:rsid w:val="004132DB"/>
    <w:rsid w:val="00414172"/>
    <w:rsid w:val="00414A2A"/>
    <w:rsid w:val="00415346"/>
    <w:rsid w:val="00415378"/>
    <w:rsid w:val="0041687C"/>
    <w:rsid w:val="004175BD"/>
    <w:rsid w:val="00417EA7"/>
    <w:rsid w:val="004202FF"/>
    <w:rsid w:val="00420D50"/>
    <w:rsid w:val="00421061"/>
    <w:rsid w:val="00421BA0"/>
    <w:rsid w:val="004222D5"/>
    <w:rsid w:val="00422895"/>
    <w:rsid w:val="00422FFF"/>
    <w:rsid w:val="00430223"/>
    <w:rsid w:val="00430D3C"/>
    <w:rsid w:val="00431262"/>
    <w:rsid w:val="0043151D"/>
    <w:rsid w:val="00431A1A"/>
    <w:rsid w:val="00431D49"/>
    <w:rsid w:val="00431D75"/>
    <w:rsid w:val="00432135"/>
    <w:rsid w:val="00432876"/>
    <w:rsid w:val="00435138"/>
    <w:rsid w:val="00435712"/>
    <w:rsid w:val="00436463"/>
    <w:rsid w:val="00436CB1"/>
    <w:rsid w:val="004414E9"/>
    <w:rsid w:val="004419E6"/>
    <w:rsid w:val="00441BC5"/>
    <w:rsid w:val="004437D2"/>
    <w:rsid w:val="00443B21"/>
    <w:rsid w:val="004446D0"/>
    <w:rsid w:val="00445359"/>
    <w:rsid w:val="00445399"/>
    <w:rsid w:val="00445992"/>
    <w:rsid w:val="004466F0"/>
    <w:rsid w:val="0044723B"/>
    <w:rsid w:val="00447F76"/>
    <w:rsid w:val="0045001D"/>
    <w:rsid w:val="00450F5B"/>
    <w:rsid w:val="00452439"/>
    <w:rsid w:val="004529F0"/>
    <w:rsid w:val="00453760"/>
    <w:rsid w:val="00455659"/>
    <w:rsid w:val="004558A9"/>
    <w:rsid w:val="0045590E"/>
    <w:rsid w:val="00456226"/>
    <w:rsid w:val="004570D1"/>
    <w:rsid w:val="00457275"/>
    <w:rsid w:val="004577C7"/>
    <w:rsid w:val="0046084F"/>
    <w:rsid w:val="0046183F"/>
    <w:rsid w:val="00462548"/>
    <w:rsid w:val="00463673"/>
    <w:rsid w:val="0046429A"/>
    <w:rsid w:val="00464518"/>
    <w:rsid w:val="004647D6"/>
    <w:rsid w:val="0046566D"/>
    <w:rsid w:val="00466EF9"/>
    <w:rsid w:val="00472E6E"/>
    <w:rsid w:val="00474268"/>
    <w:rsid w:val="004743D1"/>
    <w:rsid w:val="00474DD8"/>
    <w:rsid w:val="00475297"/>
    <w:rsid w:val="00475653"/>
    <w:rsid w:val="00475C50"/>
    <w:rsid w:val="004772C3"/>
    <w:rsid w:val="0047743C"/>
    <w:rsid w:val="004800FE"/>
    <w:rsid w:val="00480A41"/>
    <w:rsid w:val="00480AFE"/>
    <w:rsid w:val="00481024"/>
    <w:rsid w:val="004813C6"/>
    <w:rsid w:val="00482A0A"/>
    <w:rsid w:val="00483511"/>
    <w:rsid w:val="00484198"/>
    <w:rsid w:val="00484336"/>
    <w:rsid w:val="0048467B"/>
    <w:rsid w:val="00484A7C"/>
    <w:rsid w:val="004868B7"/>
    <w:rsid w:val="00486B8A"/>
    <w:rsid w:val="00487B2F"/>
    <w:rsid w:val="00490147"/>
    <w:rsid w:val="004908DE"/>
    <w:rsid w:val="0049127C"/>
    <w:rsid w:val="004912F1"/>
    <w:rsid w:val="0049132E"/>
    <w:rsid w:val="004923E7"/>
    <w:rsid w:val="00492E0E"/>
    <w:rsid w:val="00493C78"/>
    <w:rsid w:val="00495586"/>
    <w:rsid w:val="004960B2"/>
    <w:rsid w:val="00496671"/>
    <w:rsid w:val="00496792"/>
    <w:rsid w:val="00496A06"/>
    <w:rsid w:val="00497F9D"/>
    <w:rsid w:val="004A108D"/>
    <w:rsid w:val="004A10A3"/>
    <w:rsid w:val="004A1A3A"/>
    <w:rsid w:val="004A2549"/>
    <w:rsid w:val="004A2587"/>
    <w:rsid w:val="004A2E12"/>
    <w:rsid w:val="004A315C"/>
    <w:rsid w:val="004A3701"/>
    <w:rsid w:val="004A3B3A"/>
    <w:rsid w:val="004A3C56"/>
    <w:rsid w:val="004A42D3"/>
    <w:rsid w:val="004A4731"/>
    <w:rsid w:val="004A4E1E"/>
    <w:rsid w:val="004A7199"/>
    <w:rsid w:val="004B12C9"/>
    <w:rsid w:val="004B1D84"/>
    <w:rsid w:val="004B1E36"/>
    <w:rsid w:val="004B219A"/>
    <w:rsid w:val="004B28CE"/>
    <w:rsid w:val="004B2E61"/>
    <w:rsid w:val="004B376C"/>
    <w:rsid w:val="004B46E7"/>
    <w:rsid w:val="004B4907"/>
    <w:rsid w:val="004B4CDA"/>
    <w:rsid w:val="004B6D9A"/>
    <w:rsid w:val="004C13C3"/>
    <w:rsid w:val="004C19B4"/>
    <w:rsid w:val="004C2AFE"/>
    <w:rsid w:val="004C2FF5"/>
    <w:rsid w:val="004C2FFA"/>
    <w:rsid w:val="004C30F3"/>
    <w:rsid w:val="004C38F5"/>
    <w:rsid w:val="004C3BA4"/>
    <w:rsid w:val="004C3D28"/>
    <w:rsid w:val="004C4657"/>
    <w:rsid w:val="004C490E"/>
    <w:rsid w:val="004C4E6F"/>
    <w:rsid w:val="004C4E81"/>
    <w:rsid w:val="004C4F4B"/>
    <w:rsid w:val="004D025E"/>
    <w:rsid w:val="004D1366"/>
    <w:rsid w:val="004D22A3"/>
    <w:rsid w:val="004D2DFB"/>
    <w:rsid w:val="004D3164"/>
    <w:rsid w:val="004D48E3"/>
    <w:rsid w:val="004D54A9"/>
    <w:rsid w:val="004D6397"/>
    <w:rsid w:val="004D7040"/>
    <w:rsid w:val="004D7072"/>
    <w:rsid w:val="004D7819"/>
    <w:rsid w:val="004E0E52"/>
    <w:rsid w:val="004E11F6"/>
    <w:rsid w:val="004E145F"/>
    <w:rsid w:val="004E14FC"/>
    <w:rsid w:val="004E1624"/>
    <w:rsid w:val="004E29BF"/>
    <w:rsid w:val="004E29E3"/>
    <w:rsid w:val="004E4C0D"/>
    <w:rsid w:val="004E5916"/>
    <w:rsid w:val="004E5A87"/>
    <w:rsid w:val="004E6454"/>
    <w:rsid w:val="004E6B5E"/>
    <w:rsid w:val="004E6EAB"/>
    <w:rsid w:val="004E70A7"/>
    <w:rsid w:val="004F1C5C"/>
    <w:rsid w:val="004F2D53"/>
    <w:rsid w:val="004F3478"/>
    <w:rsid w:val="004F35A0"/>
    <w:rsid w:val="004F37ED"/>
    <w:rsid w:val="004F38B6"/>
    <w:rsid w:val="004F38B8"/>
    <w:rsid w:val="004F3EA0"/>
    <w:rsid w:val="004F3F7F"/>
    <w:rsid w:val="004F4293"/>
    <w:rsid w:val="004F49D8"/>
    <w:rsid w:val="004F4DD4"/>
    <w:rsid w:val="004F5459"/>
    <w:rsid w:val="004F5ECF"/>
    <w:rsid w:val="004F5FCA"/>
    <w:rsid w:val="004F6641"/>
    <w:rsid w:val="004F7F52"/>
    <w:rsid w:val="00500E9D"/>
    <w:rsid w:val="00501217"/>
    <w:rsid w:val="005013D5"/>
    <w:rsid w:val="00501954"/>
    <w:rsid w:val="00502C42"/>
    <w:rsid w:val="005033D9"/>
    <w:rsid w:val="005045A2"/>
    <w:rsid w:val="005047AA"/>
    <w:rsid w:val="00506C87"/>
    <w:rsid w:val="0050729D"/>
    <w:rsid w:val="005073B4"/>
    <w:rsid w:val="005076C4"/>
    <w:rsid w:val="00511660"/>
    <w:rsid w:val="00511E2C"/>
    <w:rsid w:val="00512350"/>
    <w:rsid w:val="0051502A"/>
    <w:rsid w:val="005158D3"/>
    <w:rsid w:val="00516C31"/>
    <w:rsid w:val="00521CBA"/>
    <w:rsid w:val="0052325D"/>
    <w:rsid w:val="00523A8C"/>
    <w:rsid w:val="0052565D"/>
    <w:rsid w:val="0052589D"/>
    <w:rsid w:val="00525B86"/>
    <w:rsid w:val="00531735"/>
    <w:rsid w:val="00531D5B"/>
    <w:rsid w:val="0053299B"/>
    <w:rsid w:val="005343EB"/>
    <w:rsid w:val="005347E2"/>
    <w:rsid w:val="0053481C"/>
    <w:rsid w:val="00535BB3"/>
    <w:rsid w:val="00536A0D"/>
    <w:rsid w:val="00536E8C"/>
    <w:rsid w:val="00540C94"/>
    <w:rsid w:val="00541908"/>
    <w:rsid w:val="0054349E"/>
    <w:rsid w:val="0054380F"/>
    <w:rsid w:val="0054394E"/>
    <w:rsid w:val="0054435C"/>
    <w:rsid w:val="00545D2E"/>
    <w:rsid w:val="00545D2F"/>
    <w:rsid w:val="00546494"/>
    <w:rsid w:val="0055032C"/>
    <w:rsid w:val="00551187"/>
    <w:rsid w:val="00551F05"/>
    <w:rsid w:val="005525BA"/>
    <w:rsid w:val="00552BCC"/>
    <w:rsid w:val="00552CB8"/>
    <w:rsid w:val="00552F9A"/>
    <w:rsid w:val="00555A18"/>
    <w:rsid w:val="00555BC0"/>
    <w:rsid w:val="005560C7"/>
    <w:rsid w:val="00556356"/>
    <w:rsid w:val="00556662"/>
    <w:rsid w:val="00556824"/>
    <w:rsid w:val="0055724C"/>
    <w:rsid w:val="0056043E"/>
    <w:rsid w:val="00562C6C"/>
    <w:rsid w:val="00563C49"/>
    <w:rsid w:val="0056416E"/>
    <w:rsid w:val="00564502"/>
    <w:rsid w:val="0056479F"/>
    <w:rsid w:val="00566371"/>
    <w:rsid w:val="00566709"/>
    <w:rsid w:val="0056794D"/>
    <w:rsid w:val="00570688"/>
    <w:rsid w:val="0057108E"/>
    <w:rsid w:val="005729F5"/>
    <w:rsid w:val="00572CC8"/>
    <w:rsid w:val="00577F41"/>
    <w:rsid w:val="0058076A"/>
    <w:rsid w:val="00580AFC"/>
    <w:rsid w:val="005820DA"/>
    <w:rsid w:val="00582E5B"/>
    <w:rsid w:val="0058369F"/>
    <w:rsid w:val="00583EBF"/>
    <w:rsid w:val="00584256"/>
    <w:rsid w:val="005842BE"/>
    <w:rsid w:val="00584BAC"/>
    <w:rsid w:val="0058502E"/>
    <w:rsid w:val="0058565E"/>
    <w:rsid w:val="005859E8"/>
    <w:rsid w:val="00585CE1"/>
    <w:rsid w:val="00587ECA"/>
    <w:rsid w:val="00590D75"/>
    <w:rsid w:val="005910B0"/>
    <w:rsid w:val="0059495E"/>
    <w:rsid w:val="00595870"/>
    <w:rsid w:val="00595B1D"/>
    <w:rsid w:val="00595BE9"/>
    <w:rsid w:val="005967BC"/>
    <w:rsid w:val="0059694F"/>
    <w:rsid w:val="00597987"/>
    <w:rsid w:val="005A07A0"/>
    <w:rsid w:val="005A4A36"/>
    <w:rsid w:val="005A5955"/>
    <w:rsid w:val="005A5CBD"/>
    <w:rsid w:val="005A5D05"/>
    <w:rsid w:val="005A602B"/>
    <w:rsid w:val="005A75E6"/>
    <w:rsid w:val="005A77A8"/>
    <w:rsid w:val="005B0730"/>
    <w:rsid w:val="005B0F92"/>
    <w:rsid w:val="005B13F8"/>
    <w:rsid w:val="005B2007"/>
    <w:rsid w:val="005B2B63"/>
    <w:rsid w:val="005B2D44"/>
    <w:rsid w:val="005B346F"/>
    <w:rsid w:val="005B5B5C"/>
    <w:rsid w:val="005B5ED9"/>
    <w:rsid w:val="005B64D2"/>
    <w:rsid w:val="005B79E4"/>
    <w:rsid w:val="005C06F5"/>
    <w:rsid w:val="005C2A98"/>
    <w:rsid w:val="005C3A10"/>
    <w:rsid w:val="005C4439"/>
    <w:rsid w:val="005C4893"/>
    <w:rsid w:val="005C4A9D"/>
    <w:rsid w:val="005C4AB0"/>
    <w:rsid w:val="005C6522"/>
    <w:rsid w:val="005C6875"/>
    <w:rsid w:val="005D09B4"/>
    <w:rsid w:val="005D2526"/>
    <w:rsid w:val="005D2770"/>
    <w:rsid w:val="005D34FF"/>
    <w:rsid w:val="005D37B4"/>
    <w:rsid w:val="005D3E40"/>
    <w:rsid w:val="005D3FB1"/>
    <w:rsid w:val="005D445A"/>
    <w:rsid w:val="005D527B"/>
    <w:rsid w:val="005D5285"/>
    <w:rsid w:val="005D5638"/>
    <w:rsid w:val="005D7FF8"/>
    <w:rsid w:val="005E0A90"/>
    <w:rsid w:val="005E0C27"/>
    <w:rsid w:val="005E4A4A"/>
    <w:rsid w:val="005E4CB9"/>
    <w:rsid w:val="005E4F4B"/>
    <w:rsid w:val="005E718A"/>
    <w:rsid w:val="005E728A"/>
    <w:rsid w:val="005E7DFF"/>
    <w:rsid w:val="005E7F84"/>
    <w:rsid w:val="005F097A"/>
    <w:rsid w:val="005F2C99"/>
    <w:rsid w:val="005F4794"/>
    <w:rsid w:val="005F5F17"/>
    <w:rsid w:val="005F7970"/>
    <w:rsid w:val="00601B01"/>
    <w:rsid w:val="00601DEA"/>
    <w:rsid w:val="00601ECC"/>
    <w:rsid w:val="00602E70"/>
    <w:rsid w:val="00603751"/>
    <w:rsid w:val="006050DD"/>
    <w:rsid w:val="006067DA"/>
    <w:rsid w:val="00606A80"/>
    <w:rsid w:val="00606B87"/>
    <w:rsid w:val="00607AC0"/>
    <w:rsid w:val="00607B3A"/>
    <w:rsid w:val="00607CE4"/>
    <w:rsid w:val="00607DBF"/>
    <w:rsid w:val="006104B9"/>
    <w:rsid w:val="00612951"/>
    <w:rsid w:val="00613396"/>
    <w:rsid w:val="00613430"/>
    <w:rsid w:val="006136B6"/>
    <w:rsid w:val="00613DD0"/>
    <w:rsid w:val="00614823"/>
    <w:rsid w:val="006148AC"/>
    <w:rsid w:val="006203FB"/>
    <w:rsid w:val="00620DF5"/>
    <w:rsid w:val="0062101C"/>
    <w:rsid w:val="006218E2"/>
    <w:rsid w:val="00622761"/>
    <w:rsid w:val="00622CD6"/>
    <w:rsid w:val="00623480"/>
    <w:rsid w:val="00625361"/>
    <w:rsid w:val="006278BD"/>
    <w:rsid w:val="006317EA"/>
    <w:rsid w:val="006326E0"/>
    <w:rsid w:val="00633DF3"/>
    <w:rsid w:val="00635653"/>
    <w:rsid w:val="0063742D"/>
    <w:rsid w:val="006379EA"/>
    <w:rsid w:val="00640059"/>
    <w:rsid w:val="0064274E"/>
    <w:rsid w:val="00642F4F"/>
    <w:rsid w:val="0064357B"/>
    <w:rsid w:val="00643785"/>
    <w:rsid w:val="00643963"/>
    <w:rsid w:val="00643FBC"/>
    <w:rsid w:val="00644130"/>
    <w:rsid w:val="006446D4"/>
    <w:rsid w:val="006456D5"/>
    <w:rsid w:val="006458E9"/>
    <w:rsid w:val="006469F5"/>
    <w:rsid w:val="00646B15"/>
    <w:rsid w:val="006472EE"/>
    <w:rsid w:val="0065017C"/>
    <w:rsid w:val="006507EC"/>
    <w:rsid w:val="00650870"/>
    <w:rsid w:val="00650D40"/>
    <w:rsid w:val="00651479"/>
    <w:rsid w:val="0065181B"/>
    <w:rsid w:val="00654B52"/>
    <w:rsid w:val="00654D11"/>
    <w:rsid w:val="00655A5D"/>
    <w:rsid w:val="00655C52"/>
    <w:rsid w:val="00655DD7"/>
    <w:rsid w:val="00655EDC"/>
    <w:rsid w:val="00657E98"/>
    <w:rsid w:val="0066016A"/>
    <w:rsid w:val="00661496"/>
    <w:rsid w:val="00663949"/>
    <w:rsid w:val="00663C13"/>
    <w:rsid w:val="00666CAD"/>
    <w:rsid w:val="00667812"/>
    <w:rsid w:val="006702A7"/>
    <w:rsid w:val="00670FAC"/>
    <w:rsid w:val="00672522"/>
    <w:rsid w:val="00673653"/>
    <w:rsid w:val="00673C39"/>
    <w:rsid w:val="00674398"/>
    <w:rsid w:val="00674967"/>
    <w:rsid w:val="00675036"/>
    <w:rsid w:val="006751AF"/>
    <w:rsid w:val="00675E81"/>
    <w:rsid w:val="00676888"/>
    <w:rsid w:val="00676F5D"/>
    <w:rsid w:val="00677398"/>
    <w:rsid w:val="00677410"/>
    <w:rsid w:val="00677670"/>
    <w:rsid w:val="00677774"/>
    <w:rsid w:val="00677A60"/>
    <w:rsid w:val="00677AA4"/>
    <w:rsid w:val="00681CA1"/>
    <w:rsid w:val="00682063"/>
    <w:rsid w:val="00682CC9"/>
    <w:rsid w:val="0068332C"/>
    <w:rsid w:val="0068419C"/>
    <w:rsid w:val="006842D7"/>
    <w:rsid w:val="00685122"/>
    <w:rsid w:val="00685A22"/>
    <w:rsid w:val="00686C71"/>
    <w:rsid w:val="006879A9"/>
    <w:rsid w:val="00693883"/>
    <w:rsid w:val="00695CC7"/>
    <w:rsid w:val="00696280"/>
    <w:rsid w:val="00696627"/>
    <w:rsid w:val="006A0667"/>
    <w:rsid w:val="006A26A5"/>
    <w:rsid w:val="006A29B0"/>
    <w:rsid w:val="006A29BF"/>
    <w:rsid w:val="006A2B97"/>
    <w:rsid w:val="006A2C49"/>
    <w:rsid w:val="006A2CA6"/>
    <w:rsid w:val="006A2E0A"/>
    <w:rsid w:val="006A354B"/>
    <w:rsid w:val="006A369E"/>
    <w:rsid w:val="006A3FFE"/>
    <w:rsid w:val="006A5957"/>
    <w:rsid w:val="006A661A"/>
    <w:rsid w:val="006A6D9F"/>
    <w:rsid w:val="006A6ECC"/>
    <w:rsid w:val="006A798C"/>
    <w:rsid w:val="006B024A"/>
    <w:rsid w:val="006B3C1B"/>
    <w:rsid w:val="006B3E18"/>
    <w:rsid w:val="006B517D"/>
    <w:rsid w:val="006B755F"/>
    <w:rsid w:val="006B7BBD"/>
    <w:rsid w:val="006B7C3E"/>
    <w:rsid w:val="006C1181"/>
    <w:rsid w:val="006C1A71"/>
    <w:rsid w:val="006C4B72"/>
    <w:rsid w:val="006C4BBA"/>
    <w:rsid w:val="006C7864"/>
    <w:rsid w:val="006D02E6"/>
    <w:rsid w:val="006D0AB3"/>
    <w:rsid w:val="006D2B0B"/>
    <w:rsid w:val="006D319D"/>
    <w:rsid w:val="006D4A3F"/>
    <w:rsid w:val="006D4B7E"/>
    <w:rsid w:val="006E1175"/>
    <w:rsid w:val="006E35A7"/>
    <w:rsid w:val="006E3CDC"/>
    <w:rsid w:val="006E492C"/>
    <w:rsid w:val="006E57FA"/>
    <w:rsid w:val="006E7E67"/>
    <w:rsid w:val="006F1064"/>
    <w:rsid w:val="006F1B73"/>
    <w:rsid w:val="006F1CBD"/>
    <w:rsid w:val="006F231C"/>
    <w:rsid w:val="006F2527"/>
    <w:rsid w:val="006F3455"/>
    <w:rsid w:val="006F3AAE"/>
    <w:rsid w:val="006F47A6"/>
    <w:rsid w:val="006F47B5"/>
    <w:rsid w:val="006F4A12"/>
    <w:rsid w:val="006F56DA"/>
    <w:rsid w:val="006F60A5"/>
    <w:rsid w:val="006F6211"/>
    <w:rsid w:val="006F7B23"/>
    <w:rsid w:val="00700150"/>
    <w:rsid w:val="007002C2"/>
    <w:rsid w:val="007004FB"/>
    <w:rsid w:val="00701A77"/>
    <w:rsid w:val="00701ACF"/>
    <w:rsid w:val="00702715"/>
    <w:rsid w:val="00702F37"/>
    <w:rsid w:val="007042A9"/>
    <w:rsid w:val="007047C7"/>
    <w:rsid w:val="00704A2B"/>
    <w:rsid w:val="00704CE5"/>
    <w:rsid w:val="007052D0"/>
    <w:rsid w:val="00705E28"/>
    <w:rsid w:val="00706F1A"/>
    <w:rsid w:val="0070753C"/>
    <w:rsid w:val="00707D0B"/>
    <w:rsid w:val="007109B8"/>
    <w:rsid w:val="007109E3"/>
    <w:rsid w:val="00710A34"/>
    <w:rsid w:val="00710CD3"/>
    <w:rsid w:val="00711018"/>
    <w:rsid w:val="007112BD"/>
    <w:rsid w:val="00711B5A"/>
    <w:rsid w:val="00712BDA"/>
    <w:rsid w:val="00713CE0"/>
    <w:rsid w:val="00713D79"/>
    <w:rsid w:val="00713D87"/>
    <w:rsid w:val="007146E8"/>
    <w:rsid w:val="00715F72"/>
    <w:rsid w:val="00716918"/>
    <w:rsid w:val="00717730"/>
    <w:rsid w:val="00717CC5"/>
    <w:rsid w:val="00720728"/>
    <w:rsid w:val="00720ACD"/>
    <w:rsid w:val="00721125"/>
    <w:rsid w:val="0072154B"/>
    <w:rsid w:val="007238BC"/>
    <w:rsid w:val="0072396F"/>
    <w:rsid w:val="00725321"/>
    <w:rsid w:val="00725499"/>
    <w:rsid w:val="00725658"/>
    <w:rsid w:val="0073068B"/>
    <w:rsid w:val="0073086A"/>
    <w:rsid w:val="00731F70"/>
    <w:rsid w:val="007320AE"/>
    <w:rsid w:val="007322A9"/>
    <w:rsid w:val="00732FF6"/>
    <w:rsid w:val="007333BF"/>
    <w:rsid w:val="00733FB9"/>
    <w:rsid w:val="00734DB0"/>
    <w:rsid w:val="007365DF"/>
    <w:rsid w:val="0073756B"/>
    <w:rsid w:val="00741A25"/>
    <w:rsid w:val="00741BC8"/>
    <w:rsid w:val="00742107"/>
    <w:rsid w:val="0074217A"/>
    <w:rsid w:val="007425AF"/>
    <w:rsid w:val="00742B70"/>
    <w:rsid w:val="00743ECA"/>
    <w:rsid w:val="00743F2C"/>
    <w:rsid w:val="00744155"/>
    <w:rsid w:val="007449F5"/>
    <w:rsid w:val="007453F8"/>
    <w:rsid w:val="00745526"/>
    <w:rsid w:val="00745D3E"/>
    <w:rsid w:val="007463E4"/>
    <w:rsid w:val="0074709F"/>
    <w:rsid w:val="007473F7"/>
    <w:rsid w:val="00747535"/>
    <w:rsid w:val="00747804"/>
    <w:rsid w:val="00747D4D"/>
    <w:rsid w:val="0075009D"/>
    <w:rsid w:val="007503B4"/>
    <w:rsid w:val="00750931"/>
    <w:rsid w:val="00750FA9"/>
    <w:rsid w:val="00751AAA"/>
    <w:rsid w:val="00751ABD"/>
    <w:rsid w:val="00751B9B"/>
    <w:rsid w:val="0075289F"/>
    <w:rsid w:val="00752AB9"/>
    <w:rsid w:val="00753652"/>
    <w:rsid w:val="007539EA"/>
    <w:rsid w:val="007545CA"/>
    <w:rsid w:val="007559AB"/>
    <w:rsid w:val="00755C88"/>
    <w:rsid w:val="00756B01"/>
    <w:rsid w:val="00760249"/>
    <w:rsid w:val="00760577"/>
    <w:rsid w:val="007605DF"/>
    <w:rsid w:val="00761E76"/>
    <w:rsid w:val="00764479"/>
    <w:rsid w:val="007652EC"/>
    <w:rsid w:val="00765E17"/>
    <w:rsid w:val="0076654F"/>
    <w:rsid w:val="00766ACF"/>
    <w:rsid w:val="0077000B"/>
    <w:rsid w:val="00770E5A"/>
    <w:rsid w:val="00771239"/>
    <w:rsid w:val="007721C7"/>
    <w:rsid w:val="00773DA3"/>
    <w:rsid w:val="0077434C"/>
    <w:rsid w:val="00775D94"/>
    <w:rsid w:val="00776E3E"/>
    <w:rsid w:val="00777144"/>
    <w:rsid w:val="00777522"/>
    <w:rsid w:val="00777FF5"/>
    <w:rsid w:val="0078041E"/>
    <w:rsid w:val="00780686"/>
    <w:rsid w:val="007809C3"/>
    <w:rsid w:val="00780C60"/>
    <w:rsid w:val="007820A6"/>
    <w:rsid w:val="00783740"/>
    <w:rsid w:val="00783892"/>
    <w:rsid w:val="007845F8"/>
    <w:rsid w:val="00784987"/>
    <w:rsid w:val="007854AA"/>
    <w:rsid w:val="0078595C"/>
    <w:rsid w:val="0078682E"/>
    <w:rsid w:val="007872DF"/>
    <w:rsid w:val="00787378"/>
    <w:rsid w:val="00787EBD"/>
    <w:rsid w:val="007901E5"/>
    <w:rsid w:val="00790EC2"/>
    <w:rsid w:val="00791214"/>
    <w:rsid w:val="007917D4"/>
    <w:rsid w:val="00792003"/>
    <w:rsid w:val="007922DD"/>
    <w:rsid w:val="007937A6"/>
    <w:rsid w:val="00794A26"/>
    <w:rsid w:val="007956D4"/>
    <w:rsid w:val="00795A29"/>
    <w:rsid w:val="007A1657"/>
    <w:rsid w:val="007A18DD"/>
    <w:rsid w:val="007A2507"/>
    <w:rsid w:val="007A2C0C"/>
    <w:rsid w:val="007A3048"/>
    <w:rsid w:val="007A4106"/>
    <w:rsid w:val="007A45BD"/>
    <w:rsid w:val="007A4E9D"/>
    <w:rsid w:val="007A5D44"/>
    <w:rsid w:val="007A603E"/>
    <w:rsid w:val="007A6A02"/>
    <w:rsid w:val="007A6F95"/>
    <w:rsid w:val="007B009B"/>
    <w:rsid w:val="007B0BF4"/>
    <w:rsid w:val="007B1B8F"/>
    <w:rsid w:val="007B2055"/>
    <w:rsid w:val="007B2405"/>
    <w:rsid w:val="007B299B"/>
    <w:rsid w:val="007B2FBF"/>
    <w:rsid w:val="007B3038"/>
    <w:rsid w:val="007B3C33"/>
    <w:rsid w:val="007B46FF"/>
    <w:rsid w:val="007B56D1"/>
    <w:rsid w:val="007B664C"/>
    <w:rsid w:val="007B751C"/>
    <w:rsid w:val="007B7527"/>
    <w:rsid w:val="007B777D"/>
    <w:rsid w:val="007B78BE"/>
    <w:rsid w:val="007B7A36"/>
    <w:rsid w:val="007C0565"/>
    <w:rsid w:val="007C0B31"/>
    <w:rsid w:val="007C0B77"/>
    <w:rsid w:val="007C103A"/>
    <w:rsid w:val="007C10FE"/>
    <w:rsid w:val="007C17E6"/>
    <w:rsid w:val="007C1D6A"/>
    <w:rsid w:val="007C1FAF"/>
    <w:rsid w:val="007C33C7"/>
    <w:rsid w:val="007C3747"/>
    <w:rsid w:val="007C4828"/>
    <w:rsid w:val="007C6591"/>
    <w:rsid w:val="007C6CE0"/>
    <w:rsid w:val="007C7797"/>
    <w:rsid w:val="007C7F0A"/>
    <w:rsid w:val="007D192F"/>
    <w:rsid w:val="007D1F63"/>
    <w:rsid w:val="007D20CB"/>
    <w:rsid w:val="007D2ADA"/>
    <w:rsid w:val="007D5046"/>
    <w:rsid w:val="007D63A4"/>
    <w:rsid w:val="007D688A"/>
    <w:rsid w:val="007D6C07"/>
    <w:rsid w:val="007D73C4"/>
    <w:rsid w:val="007D73D8"/>
    <w:rsid w:val="007E1079"/>
    <w:rsid w:val="007E133D"/>
    <w:rsid w:val="007E151F"/>
    <w:rsid w:val="007E27E5"/>
    <w:rsid w:val="007E2A10"/>
    <w:rsid w:val="007E2C8A"/>
    <w:rsid w:val="007E4474"/>
    <w:rsid w:val="007E4618"/>
    <w:rsid w:val="007E4C14"/>
    <w:rsid w:val="007E7CBD"/>
    <w:rsid w:val="007E7D39"/>
    <w:rsid w:val="007F1B59"/>
    <w:rsid w:val="007F3007"/>
    <w:rsid w:val="007F37B7"/>
    <w:rsid w:val="007F4C05"/>
    <w:rsid w:val="007F6376"/>
    <w:rsid w:val="00800320"/>
    <w:rsid w:val="00800F92"/>
    <w:rsid w:val="00802C98"/>
    <w:rsid w:val="00803EF0"/>
    <w:rsid w:val="008042F8"/>
    <w:rsid w:val="008047F3"/>
    <w:rsid w:val="008057A5"/>
    <w:rsid w:val="00805C68"/>
    <w:rsid w:val="00805F72"/>
    <w:rsid w:val="00806B7C"/>
    <w:rsid w:val="00807511"/>
    <w:rsid w:val="008077E8"/>
    <w:rsid w:val="00807D97"/>
    <w:rsid w:val="00810470"/>
    <w:rsid w:val="00810AFF"/>
    <w:rsid w:val="00810CB8"/>
    <w:rsid w:val="00810D76"/>
    <w:rsid w:val="00810F1C"/>
    <w:rsid w:val="008113F4"/>
    <w:rsid w:val="00811624"/>
    <w:rsid w:val="00811758"/>
    <w:rsid w:val="008118EE"/>
    <w:rsid w:val="00811EF3"/>
    <w:rsid w:val="00814DDA"/>
    <w:rsid w:val="0081583E"/>
    <w:rsid w:val="00816C06"/>
    <w:rsid w:val="00816E74"/>
    <w:rsid w:val="00817311"/>
    <w:rsid w:val="0081797A"/>
    <w:rsid w:val="00820706"/>
    <w:rsid w:val="00820961"/>
    <w:rsid w:val="00821032"/>
    <w:rsid w:val="008213BA"/>
    <w:rsid w:val="00823323"/>
    <w:rsid w:val="00823E36"/>
    <w:rsid w:val="00824B09"/>
    <w:rsid w:val="00825B9D"/>
    <w:rsid w:val="00825D0B"/>
    <w:rsid w:val="0082626E"/>
    <w:rsid w:val="00827C56"/>
    <w:rsid w:val="00830D4E"/>
    <w:rsid w:val="0083225C"/>
    <w:rsid w:val="00832531"/>
    <w:rsid w:val="0083254E"/>
    <w:rsid w:val="0083399A"/>
    <w:rsid w:val="0083432F"/>
    <w:rsid w:val="00834420"/>
    <w:rsid w:val="00834970"/>
    <w:rsid w:val="00834C3A"/>
    <w:rsid w:val="008355D5"/>
    <w:rsid w:val="008360B2"/>
    <w:rsid w:val="0083793D"/>
    <w:rsid w:val="00837D39"/>
    <w:rsid w:val="008407B5"/>
    <w:rsid w:val="0084096B"/>
    <w:rsid w:val="00840CDB"/>
    <w:rsid w:val="0084199B"/>
    <w:rsid w:val="00841BD6"/>
    <w:rsid w:val="0084277A"/>
    <w:rsid w:val="00843F82"/>
    <w:rsid w:val="008460BA"/>
    <w:rsid w:val="00846A11"/>
    <w:rsid w:val="00846F18"/>
    <w:rsid w:val="00846F32"/>
    <w:rsid w:val="00847064"/>
    <w:rsid w:val="00847A80"/>
    <w:rsid w:val="008510C2"/>
    <w:rsid w:val="00851505"/>
    <w:rsid w:val="008517EF"/>
    <w:rsid w:val="0085180D"/>
    <w:rsid w:val="00852AC8"/>
    <w:rsid w:val="00852B46"/>
    <w:rsid w:val="008535B4"/>
    <w:rsid w:val="00853FDB"/>
    <w:rsid w:val="00855DEB"/>
    <w:rsid w:val="00856D00"/>
    <w:rsid w:val="00857C1B"/>
    <w:rsid w:val="00857E67"/>
    <w:rsid w:val="00857FDD"/>
    <w:rsid w:val="008607C7"/>
    <w:rsid w:val="00860EC1"/>
    <w:rsid w:val="008627DA"/>
    <w:rsid w:val="00864ECE"/>
    <w:rsid w:val="0086586A"/>
    <w:rsid w:val="00865E4C"/>
    <w:rsid w:val="00866099"/>
    <w:rsid w:val="008660B3"/>
    <w:rsid w:val="00866579"/>
    <w:rsid w:val="008669DF"/>
    <w:rsid w:val="008675DC"/>
    <w:rsid w:val="00867846"/>
    <w:rsid w:val="0087275D"/>
    <w:rsid w:val="00872E5D"/>
    <w:rsid w:val="00873689"/>
    <w:rsid w:val="00874A27"/>
    <w:rsid w:val="00875B01"/>
    <w:rsid w:val="0087615B"/>
    <w:rsid w:val="0087624A"/>
    <w:rsid w:val="00876720"/>
    <w:rsid w:val="00880976"/>
    <w:rsid w:val="00880CDD"/>
    <w:rsid w:val="00881C79"/>
    <w:rsid w:val="00882839"/>
    <w:rsid w:val="00882C0D"/>
    <w:rsid w:val="00882EFE"/>
    <w:rsid w:val="0088354E"/>
    <w:rsid w:val="0088425C"/>
    <w:rsid w:val="0088437C"/>
    <w:rsid w:val="0088468B"/>
    <w:rsid w:val="008846E2"/>
    <w:rsid w:val="00885201"/>
    <w:rsid w:val="008862B0"/>
    <w:rsid w:val="008864CF"/>
    <w:rsid w:val="008867CC"/>
    <w:rsid w:val="00886C31"/>
    <w:rsid w:val="00887110"/>
    <w:rsid w:val="008908C6"/>
    <w:rsid w:val="00890B36"/>
    <w:rsid w:val="0089129E"/>
    <w:rsid w:val="00891370"/>
    <w:rsid w:val="00892CBC"/>
    <w:rsid w:val="008935BF"/>
    <w:rsid w:val="008936E2"/>
    <w:rsid w:val="0089383A"/>
    <w:rsid w:val="00895CBE"/>
    <w:rsid w:val="00895DA1"/>
    <w:rsid w:val="008965E0"/>
    <w:rsid w:val="008A0F0E"/>
    <w:rsid w:val="008A10CC"/>
    <w:rsid w:val="008A19E3"/>
    <w:rsid w:val="008A2862"/>
    <w:rsid w:val="008A48E9"/>
    <w:rsid w:val="008A4D16"/>
    <w:rsid w:val="008A574E"/>
    <w:rsid w:val="008A6305"/>
    <w:rsid w:val="008A6312"/>
    <w:rsid w:val="008B0599"/>
    <w:rsid w:val="008B0FBD"/>
    <w:rsid w:val="008B1509"/>
    <w:rsid w:val="008B1BD4"/>
    <w:rsid w:val="008B1F15"/>
    <w:rsid w:val="008B1F74"/>
    <w:rsid w:val="008B2187"/>
    <w:rsid w:val="008B3B16"/>
    <w:rsid w:val="008B3F08"/>
    <w:rsid w:val="008B43BE"/>
    <w:rsid w:val="008B459D"/>
    <w:rsid w:val="008B58D2"/>
    <w:rsid w:val="008B6638"/>
    <w:rsid w:val="008B68DF"/>
    <w:rsid w:val="008B7E5A"/>
    <w:rsid w:val="008C31BD"/>
    <w:rsid w:val="008C4C60"/>
    <w:rsid w:val="008C5090"/>
    <w:rsid w:val="008C7994"/>
    <w:rsid w:val="008C799D"/>
    <w:rsid w:val="008C7D78"/>
    <w:rsid w:val="008D11B9"/>
    <w:rsid w:val="008D280C"/>
    <w:rsid w:val="008D2A9A"/>
    <w:rsid w:val="008D379F"/>
    <w:rsid w:val="008D5AF0"/>
    <w:rsid w:val="008D6BAD"/>
    <w:rsid w:val="008D7A00"/>
    <w:rsid w:val="008D7E51"/>
    <w:rsid w:val="008E0EE8"/>
    <w:rsid w:val="008E11CF"/>
    <w:rsid w:val="008E1B7E"/>
    <w:rsid w:val="008E1F77"/>
    <w:rsid w:val="008E25A1"/>
    <w:rsid w:val="008E2BB5"/>
    <w:rsid w:val="008E2EB0"/>
    <w:rsid w:val="008E3B97"/>
    <w:rsid w:val="008E467F"/>
    <w:rsid w:val="008E4B0D"/>
    <w:rsid w:val="008E4E12"/>
    <w:rsid w:val="008E5671"/>
    <w:rsid w:val="008E65DA"/>
    <w:rsid w:val="008E7487"/>
    <w:rsid w:val="008F0108"/>
    <w:rsid w:val="008F1C53"/>
    <w:rsid w:val="008F20DF"/>
    <w:rsid w:val="008F211F"/>
    <w:rsid w:val="008F2FDA"/>
    <w:rsid w:val="008F381B"/>
    <w:rsid w:val="008F3DEE"/>
    <w:rsid w:val="008F4FEC"/>
    <w:rsid w:val="008F502E"/>
    <w:rsid w:val="008F5ACE"/>
    <w:rsid w:val="008F616A"/>
    <w:rsid w:val="00900BE7"/>
    <w:rsid w:val="00901E7B"/>
    <w:rsid w:val="0090224E"/>
    <w:rsid w:val="0090226B"/>
    <w:rsid w:val="00902B6A"/>
    <w:rsid w:val="00903F91"/>
    <w:rsid w:val="009068D6"/>
    <w:rsid w:val="00907A6E"/>
    <w:rsid w:val="00907D74"/>
    <w:rsid w:val="00910457"/>
    <w:rsid w:val="009105EE"/>
    <w:rsid w:val="00910B40"/>
    <w:rsid w:val="00912F01"/>
    <w:rsid w:val="0091457A"/>
    <w:rsid w:val="0091484E"/>
    <w:rsid w:val="009151F9"/>
    <w:rsid w:val="009154B2"/>
    <w:rsid w:val="009157F1"/>
    <w:rsid w:val="00916254"/>
    <w:rsid w:val="00916642"/>
    <w:rsid w:val="00916774"/>
    <w:rsid w:val="009179B5"/>
    <w:rsid w:val="0092144D"/>
    <w:rsid w:val="00922A32"/>
    <w:rsid w:val="00925E3B"/>
    <w:rsid w:val="00925FCD"/>
    <w:rsid w:val="009270A5"/>
    <w:rsid w:val="00930253"/>
    <w:rsid w:val="00931134"/>
    <w:rsid w:val="009314C6"/>
    <w:rsid w:val="00931707"/>
    <w:rsid w:val="009317DA"/>
    <w:rsid w:val="00931BE2"/>
    <w:rsid w:val="00931EF7"/>
    <w:rsid w:val="00932072"/>
    <w:rsid w:val="00935905"/>
    <w:rsid w:val="0093593E"/>
    <w:rsid w:val="00935AB2"/>
    <w:rsid w:val="00935E6A"/>
    <w:rsid w:val="00936AC6"/>
    <w:rsid w:val="00936F03"/>
    <w:rsid w:val="00936F2D"/>
    <w:rsid w:val="009401B2"/>
    <w:rsid w:val="009408EF"/>
    <w:rsid w:val="0094170E"/>
    <w:rsid w:val="00941D4E"/>
    <w:rsid w:val="00943E04"/>
    <w:rsid w:val="00943EE6"/>
    <w:rsid w:val="009442A9"/>
    <w:rsid w:val="00944499"/>
    <w:rsid w:val="009450D3"/>
    <w:rsid w:val="00945E93"/>
    <w:rsid w:val="00946339"/>
    <w:rsid w:val="00951367"/>
    <w:rsid w:val="00951D02"/>
    <w:rsid w:val="00952CD9"/>
    <w:rsid w:val="00953742"/>
    <w:rsid w:val="00954AA9"/>
    <w:rsid w:val="0095574F"/>
    <w:rsid w:val="0095593F"/>
    <w:rsid w:val="009571F3"/>
    <w:rsid w:val="0095721F"/>
    <w:rsid w:val="009606C8"/>
    <w:rsid w:val="00960C61"/>
    <w:rsid w:val="009618A1"/>
    <w:rsid w:val="009618D1"/>
    <w:rsid w:val="00962B17"/>
    <w:rsid w:val="009631B6"/>
    <w:rsid w:val="009635BF"/>
    <w:rsid w:val="00963F2F"/>
    <w:rsid w:val="00965006"/>
    <w:rsid w:val="00966C9B"/>
    <w:rsid w:val="0097007E"/>
    <w:rsid w:val="00970677"/>
    <w:rsid w:val="00970A0A"/>
    <w:rsid w:val="00971611"/>
    <w:rsid w:val="0097182E"/>
    <w:rsid w:val="00972609"/>
    <w:rsid w:val="00972705"/>
    <w:rsid w:val="00972763"/>
    <w:rsid w:val="00972987"/>
    <w:rsid w:val="00972E37"/>
    <w:rsid w:val="00973028"/>
    <w:rsid w:val="00974511"/>
    <w:rsid w:val="00974924"/>
    <w:rsid w:val="00974DAA"/>
    <w:rsid w:val="009757AF"/>
    <w:rsid w:val="00976165"/>
    <w:rsid w:val="009766B5"/>
    <w:rsid w:val="00976720"/>
    <w:rsid w:val="00976C57"/>
    <w:rsid w:val="00977D8B"/>
    <w:rsid w:val="00980ACC"/>
    <w:rsid w:val="00981D6B"/>
    <w:rsid w:val="009826BA"/>
    <w:rsid w:val="0098393C"/>
    <w:rsid w:val="00985153"/>
    <w:rsid w:val="0098536A"/>
    <w:rsid w:val="009853F0"/>
    <w:rsid w:val="00985D9E"/>
    <w:rsid w:val="00986599"/>
    <w:rsid w:val="009870B3"/>
    <w:rsid w:val="00987F20"/>
    <w:rsid w:val="00991515"/>
    <w:rsid w:val="00991FA8"/>
    <w:rsid w:val="00992D9C"/>
    <w:rsid w:val="009949F7"/>
    <w:rsid w:val="00995682"/>
    <w:rsid w:val="00996385"/>
    <w:rsid w:val="00996453"/>
    <w:rsid w:val="00997526"/>
    <w:rsid w:val="009976D4"/>
    <w:rsid w:val="00997832"/>
    <w:rsid w:val="009A0022"/>
    <w:rsid w:val="009A0390"/>
    <w:rsid w:val="009A067A"/>
    <w:rsid w:val="009A0A10"/>
    <w:rsid w:val="009A1694"/>
    <w:rsid w:val="009A195F"/>
    <w:rsid w:val="009A2441"/>
    <w:rsid w:val="009A2643"/>
    <w:rsid w:val="009A3248"/>
    <w:rsid w:val="009A366D"/>
    <w:rsid w:val="009A38C8"/>
    <w:rsid w:val="009A4251"/>
    <w:rsid w:val="009A4A5B"/>
    <w:rsid w:val="009A5867"/>
    <w:rsid w:val="009A5BD1"/>
    <w:rsid w:val="009B0153"/>
    <w:rsid w:val="009B03C5"/>
    <w:rsid w:val="009B298C"/>
    <w:rsid w:val="009B30DF"/>
    <w:rsid w:val="009B4C47"/>
    <w:rsid w:val="009B5190"/>
    <w:rsid w:val="009B5421"/>
    <w:rsid w:val="009B5441"/>
    <w:rsid w:val="009B664B"/>
    <w:rsid w:val="009B68AA"/>
    <w:rsid w:val="009B6ABE"/>
    <w:rsid w:val="009B7066"/>
    <w:rsid w:val="009B7EB2"/>
    <w:rsid w:val="009C1183"/>
    <w:rsid w:val="009C1886"/>
    <w:rsid w:val="009C1F2C"/>
    <w:rsid w:val="009C366B"/>
    <w:rsid w:val="009C4124"/>
    <w:rsid w:val="009C4757"/>
    <w:rsid w:val="009C56FE"/>
    <w:rsid w:val="009C5723"/>
    <w:rsid w:val="009C5A2C"/>
    <w:rsid w:val="009C6599"/>
    <w:rsid w:val="009C669D"/>
    <w:rsid w:val="009C6929"/>
    <w:rsid w:val="009D0CA6"/>
    <w:rsid w:val="009D11A1"/>
    <w:rsid w:val="009D2313"/>
    <w:rsid w:val="009D2EE3"/>
    <w:rsid w:val="009D316C"/>
    <w:rsid w:val="009D3751"/>
    <w:rsid w:val="009D39C4"/>
    <w:rsid w:val="009D4EA5"/>
    <w:rsid w:val="009E04B6"/>
    <w:rsid w:val="009E04FC"/>
    <w:rsid w:val="009E0E4B"/>
    <w:rsid w:val="009E25AE"/>
    <w:rsid w:val="009E2CDC"/>
    <w:rsid w:val="009E2E70"/>
    <w:rsid w:val="009E4B98"/>
    <w:rsid w:val="009E551A"/>
    <w:rsid w:val="009E561F"/>
    <w:rsid w:val="009E5A3A"/>
    <w:rsid w:val="009E5B28"/>
    <w:rsid w:val="009E5B8D"/>
    <w:rsid w:val="009E6673"/>
    <w:rsid w:val="009F0142"/>
    <w:rsid w:val="009F0CB5"/>
    <w:rsid w:val="009F1B88"/>
    <w:rsid w:val="009F3AED"/>
    <w:rsid w:val="009F4736"/>
    <w:rsid w:val="009F65A5"/>
    <w:rsid w:val="009F697C"/>
    <w:rsid w:val="009F70F7"/>
    <w:rsid w:val="009F71F3"/>
    <w:rsid w:val="00A00056"/>
    <w:rsid w:val="00A00CEA"/>
    <w:rsid w:val="00A026F9"/>
    <w:rsid w:val="00A028D3"/>
    <w:rsid w:val="00A035EB"/>
    <w:rsid w:val="00A03C86"/>
    <w:rsid w:val="00A064DC"/>
    <w:rsid w:val="00A06BB5"/>
    <w:rsid w:val="00A11302"/>
    <w:rsid w:val="00A12F68"/>
    <w:rsid w:val="00A14984"/>
    <w:rsid w:val="00A14E7E"/>
    <w:rsid w:val="00A151C1"/>
    <w:rsid w:val="00A152C8"/>
    <w:rsid w:val="00A15C92"/>
    <w:rsid w:val="00A1615F"/>
    <w:rsid w:val="00A16209"/>
    <w:rsid w:val="00A162F4"/>
    <w:rsid w:val="00A176B4"/>
    <w:rsid w:val="00A176FF"/>
    <w:rsid w:val="00A1781C"/>
    <w:rsid w:val="00A20288"/>
    <w:rsid w:val="00A23404"/>
    <w:rsid w:val="00A23A67"/>
    <w:rsid w:val="00A23B56"/>
    <w:rsid w:val="00A23BA0"/>
    <w:rsid w:val="00A24E2F"/>
    <w:rsid w:val="00A260AB"/>
    <w:rsid w:val="00A26BE5"/>
    <w:rsid w:val="00A27BD7"/>
    <w:rsid w:val="00A300E7"/>
    <w:rsid w:val="00A30AF2"/>
    <w:rsid w:val="00A31B51"/>
    <w:rsid w:val="00A32F09"/>
    <w:rsid w:val="00A332CD"/>
    <w:rsid w:val="00A35435"/>
    <w:rsid w:val="00A358F4"/>
    <w:rsid w:val="00A35EC9"/>
    <w:rsid w:val="00A36656"/>
    <w:rsid w:val="00A366A5"/>
    <w:rsid w:val="00A366CD"/>
    <w:rsid w:val="00A374D7"/>
    <w:rsid w:val="00A374DC"/>
    <w:rsid w:val="00A375BA"/>
    <w:rsid w:val="00A408E9"/>
    <w:rsid w:val="00A41596"/>
    <w:rsid w:val="00A41886"/>
    <w:rsid w:val="00A41B2F"/>
    <w:rsid w:val="00A42D0B"/>
    <w:rsid w:val="00A44A0A"/>
    <w:rsid w:val="00A45C69"/>
    <w:rsid w:val="00A45FC4"/>
    <w:rsid w:val="00A46112"/>
    <w:rsid w:val="00A466C2"/>
    <w:rsid w:val="00A50247"/>
    <w:rsid w:val="00A504A9"/>
    <w:rsid w:val="00A51A7A"/>
    <w:rsid w:val="00A51B7F"/>
    <w:rsid w:val="00A51C51"/>
    <w:rsid w:val="00A51EBB"/>
    <w:rsid w:val="00A524CF"/>
    <w:rsid w:val="00A53313"/>
    <w:rsid w:val="00A53539"/>
    <w:rsid w:val="00A53B05"/>
    <w:rsid w:val="00A54B00"/>
    <w:rsid w:val="00A56D87"/>
    <w:rsid w:val="00A60B0D"/>
    <w:rsid w:val="00A60FEB"/>
    <w:rsid w:val="00A61C67"/>
    <w:rsid w:val="00A61E77"/>
    <w:rsid w:val="00A63D3C"/>
    <w:rsid w:val="00A6429D"/>
    <w:rsid w:val="00A64940"/>
    <w:rsid w:val="00A64E92"/>
    <w:rsid w:val="00A650E6"/>
    <w:rsid w:val="00A65C53"/>
    <w:rsid w:val="00A66026"/>
    <w:rsid w:val="00A665C5"/>
    <w:rsid w:val="00A6748E"/>
    <w:rsid w:val="00A7122F"/>
    <w:rsid w:val="00A71ABA"/>
    <w:rsid w:val="00A72213"/>
    <w:rsid w:val="00A73E6C"/>
    <w:rsid w:val="00A7430E"/>
    <w:rsid w:val="00A74A72"/>
    <w:rsid w:val="00A74BF4"/>
    <w:rsid w:val="00A74F77"/>
    <w:rsid w:val="00A75066"/>
    <w:rsid w:val="00A7557A"/>
    <w:rsid w:val="00A75C59"/>
    <w:rsid w:val="00A76052"/>
    <w:rsid w:val="00A762D0"/>
    <w:rsid w:val="00A76605"/>
    <w:rsid w:val="00A76D04"/>
    <w:rsid w:val="00A80967"/>
    <w:rsid w:val="00A812B6"/>
    <w:rsid w:val="00A81366"/>
    <w:rsid w:val="00A82E1A"/>
    <w:rsid w:val="00A8310D"/>
    <w:rsid w:val="00A838FF"/>
    <w:rsid w:val="00A85E8F"/>
    <w:rsid w:val="00A8702E"/>
    <w:rsid w:val="00A8761C"/>
    <w:rsid w:val="00A876B2"/>
    <w:rsid w:val="00A876F6"/>
    <w:rsid w:val="00A900A4"/>
    <w:rsid w:val="00A90FD9"/>
    <w:rsid w:val="00A9117F"/>
    <w:rsid w:val="00A91EA7"/>
    <w:rsid w:val="00A92030"/>
    <w:rsid w:val="00A929BF"/>
    <w:rsid w:val="00A93207"/>
    <w:rsid w:val="00A93294"/>
    <w:rsid w:val="00A93D5D"/>
    <w:rsid w:val="00A942FD"/>
    <w:rsid w:val="00A94C1B"/>
    <w:rsid w:val="00A956BF"/>
    <w:rsid w:val="00A95A63"/>
    <w:rsid w:val="00A962D8"/>
    <w:rsid w:val="00A97632"/>
    <w:rsid w:val="00A97651"/>
    <w:rsid w:val="00AA0FC1"/>
    <w:rsid w:val="00AA2099"/>
    <w:rsid w:val="00AA2138"/>
    <w:rsid w:val="00AA223E"/>
    <w:rsid w:val="00AA2249"/>
    <w:rsid w:val="00AA29B3"/>
    <w:rsid w:val="00AA34BF"/>
    <w:rsid w:val="00AA37EA"/>
    <w:rsid w:val="00AA3970"/>
    <w:rsid w:val="00AA4769"/>
    <w:rsid w:val="00AA4ED3"/>
    <w:rsid w:val="00AA65DE"/>
    <w:rsid w:val="00AA768E"/>
    <w:rsid w:val="00AB1BAA"/>
    <w:rsid w:val="00AB21AC"/>
    <w:rsid w:val="00AB462C"/>
    <w:rsid w:val="00AB4758"/>
    <w:rsid w:val="00AB5365"/>
    <w:rsid w:val="00AB65EA"/>
    <w:rsid w:val="00AB7424"/>
    <w:rsid w:val="00AC09D2"/>
    <w:rsid w:val="00AC1766"/>
    <w:rsid w:val="00AC17AF"/>
    <w:rsid w:val="00AC1842"/>
    <w:rsid w:val="00AC269A"/>
    <w:rsid w:val="00AC2BF0"/>
    <w:rsid w:val="00AC3C05"/>
    <w:rsid w:val="00AC47CB"/>
    <w:rsid w:val="00AC4BE6"/>
    <w:rsid w:val="00AC5110"/>
    <w:rsid w:val="00AC5449"/>
    <w:rsid w:val="00AC5889"/>
    <w:rsid w:val="00AC65DE"/>
    <w:rsid w:val="00AD1A83"/>
    <w:rsid w:val="00AD1AA3"/>
    <w:rsid w:val="00AD2315"/>
    <w:rsid w:val="00AD34E5"/>
    <w:rsid w:val="00AD4378"/>
    <w:rsid w:val="00AD4A4D"/>
    <w:rsid w:val="00AD5B24"/>
    <w:rsid w:val="00AD702A"/>
    <w:rsid w:val="00AD7D1C"/>
    <w:rsid w:val="00AE1005"/>
    <w:rsid w:val="00AE1894"/>
    <w:rsid w:val="00AE2078"/>
    <w:rsid w:val="00AE22B6"/>
    <w:rsid w:val="00AE2FC9"/>
    <w:rsid w:val="00AE3B16"/>
    <w:rsid w:val="00AE401C"/>
    <w:rsid w:val="00AE44EC"/>
    <w:rsid w:val="00AE4565"/>
    <w:rsid w:val="00AE4C92"/>
    <w:rsid w:val="00AE4D47"/>
    <w:rsid w:val="00AE511E"/>
    <w:rsid w:val="00AE70FA"/>
    <w:rsid w:val="00AE726B"/>
    <w:rsid w:val="00AE7AEA"/>
    <w:rsid w:val="00AF0EB4"/>
    <w:rsid w:val="00AF1CB9"/>
    <w:rsid w:val="00AF31EC"/>
    <w:rsid w:val="00AF48E9"/>
    <w:rsid w:val="00AF68D0"/>
    <w:rsid w:val="00B009EB"/>
    <w:rsid w:val="00B00A75"/>
    <w:rsid w:val="00B021B3"/>
    <w:rsid w:val="00B03645"/>
    <w:rsid w:val="00B03A2E"/>
    <w:rsid w:val="00B03AEE"/>
    <w:rsid w:val="00B03B54"/>
    <w:rsid w:val="00B04040"/>
    <w:rsid w:val="00B040A8"/>
    <w:rsid w:val="00B050BD"/>
    <w:rsid w:val="00B0563D"/>
    <w:rsid w:val="00B0668E"/>
    <w:rsid w:val="00B07C06"/>
    <w:rsid w:val="00B105D5"/>
    <w:rsid w:val="00B10B2D"/>
    <w:rsid w:val="00B111D6"/>
    <w:rsid w:val="00B11A64"/>
    <w:rsid w:val="00B11E0A"/>
    <w:rsid w:val="00B1200F"/>
    <w:rsid w:val="00B13C91"/>
    <w:rsid w:val="00B14773"/>
    <w:rsid w:val="00B15009"/>
    <w:rsid w:val="00B1507A"/>
    <w:rsid w:val="00B2043F"/>
    <w:rsid w:val="00B20A51"/>
    <w:rsid w:val="00B20BFE"/>
    <w:rsid w:val="00B216E8"/>
    <w:rsid w:val="00B22482"/>
    <w:rsid w:val="00B22671"/>
    <w:rsid w:val="00B25183"/>
    <w:rsid w:val="00B25A7A"/>
    <w:rsid w:val="00B2671A"/>
    <w:rsid w:val="00B30AE0"/>
    <w:rsid w:val="00B311EC"/>
    <w:rsid w:val="00B31553"/>
    <w:rsid w:val="00B32C21"/>
    <w:rsid w:val="00B32D85"/>
    <w:rsid w:val="00B32EE7"/>
    <w:rsid w:val="00B3345F"/>
    <w:rsid w:val="00B34668"/>
    <w:rsid w:val="00B350CA"/>
    <w:rsid w:val="00B351ED"/>
    <w:rsid w:val="00B3619B"/>
    <w:rsid w:val="00B36C81"/>
    <w:rsid w:val="00B372B1"/>
    <w:rsid w:val="00B37690"/>
    <w:rsid w:val="00B3785F"/>
    <w:rsid w:val="00B37B75"/>
    <w:rsid w:val="00B37C96"/>
    <w:rsid w:val="00B4177B"/>
    <w:rsid w:val="00B41CE2"/>
    <w:rsid w:val="00B41E87"/>
    <w:rsid w:val="00B4250B"/>
    <w:rsid w:val="00B4267A"/>
    <w:rsid w:val="00B42E6D"/>
    <w:rsid w:val="00B431A4"/>
    <w:rsid w:val="00B4540D"/>
    <w:rsid w:val="00B4544D"/>
    <w:rsid w:val="00B4669E"/>
    <w:rsid w:val="00B4674E"/>
    <w:rsid w:val="00B46C45"/>
    <w:rsid w:val="00B50CC7"/>
    <w:rsid w:val="00B50E8A"/>
    <w:rsid w:val="00B5197C"/>
    <w:rsid w:val="00B51DB3"/>
    <w:rsid w:val="00B51F42"/>
    <w:rsid w:val="00B5236E"/>
    <w:rsid w:val="00B52937"/>
    <w:rsid w:val="00B5348A"/>
    <w:rsid w:val="00B57983"/>
    <w:rsid w:val="00B57E6C"/>
    <w:rsid w:val="00B609D7"/>
    <w:rsid w:val="00B60A99"/>
    <w:rsid w:val="00B60BD7"/>
    <w:rsid w:val="00B60BE7"/>
    <w:rsid w:val="00B62FD9"/>
    <w:rsid w:val="00B63B75"/>
    <w:rsid w:val="00B64E3B"/>
    <w:rsid w:val="00B655D3"/>
    <w:rsid w:val="00B66C2D"/>
    <w:rsid w:val="00B679E1"/>
    <w:rsid w:val="00B7003E"/>
    <w:rsid w:val="00B70207"/>
    <w:rsid w:val="00B71C18"/>
    <w:rsid w:val="00B73230"/>
    <w:rsid w:val="00B735FA"/>
    <w:rsid w:val="00B73E85"/>
    <w:rsid w:val="00B74078"/>
    <w:rsid w:val="00B742A5"/>
    <w:rsid w:val="00B74441"/>
    <w:rsid w:val="00B7476F"/>
    <w:rsid w:val="00B74948"/>
    <w:rsid w:val="00B75B6A"/>
    <w:rsid w:val="00B75C63"/>
    <w:rsid w:val="00B763D0"/>
    <w:rsid w:val="00B7692B"/>
    <w:rsid w:val="00B77085"/>
    <w:rsid w:val="00B80020"/>
    <w:rsid w:val="00B80070"/>
    <w:rsid w:val="00B80EE9"/>
    <w:rsid w:val="00B815B6"/>
    <w:rsid w:val="00B8264F"/>
    <w:rsid w:val="00B826AF"/>
    <w:rsid w:val="00B8413A"/>
    <w:rsid w:val="00B84D5A"/>
    <w:rsid w:val="00B85249"/>
    <w:rsid w:val="00B85946"/>
    <w:rsid w:val="00B86F80"/>
    <w:rsid w:val="00B90F8A"/>
    <w:rsid w:val="00B91547"/>
    <w:rsid w:val="00B930C4"/>
    <w:rsid w:val="00B930CB"/>
    <w:rsid w:val="00B9472A"/>
    <w:rsid w:val="00B9567E"/>
    <w:rsid w:val="00B956A8"/>
    <w:rsid w:val="00B96E97"/>
    <w:rsid w:val="00B96F32"/>
    <w:rsid w:val="00B97418"/>
    <w:rsid w:val="00B97CBB"/>
    <w:rsid w:val="00B97EC1"/>
    <w:rsid w:val="00BA022F"/>
    <w:rsid w:val="00BA0390"/>
    <w:rsid w:val="00BA1137"/>
    <w:rsid w:val="00BA20FD"/>
    <w:rsid w:val="00BA24A9"/>
    <w:rsid w:val="00BA3F80"/>
    <w:rsid w:val="00BA42D8"/>
    <w:rsid w:val="00BA445F"/>
    <w:rsid w:val="00BA4829"/>
    <w:rsid w:val="00BA510F"/>
    <w:rsid w:val="00BA6112"/>
    <w:rsid w:val="00BA621F"/>
    <w:rsid w:val="00BA6568"/>
    <w:rsid w:val="00BA67D1"/>
    <w:rsid w:val="00BA72CF"/>
    <w:rsid w:val="00BA76A8"/>
    <w:rsid w:val="00BA7BFF"/>
    <w:rsid w:val="00BA7C9D"/>
    <w:rsid w:val="00BB036E"/>
    <w:rsid w:val="00BB08A8"/>
    <w:rsid w:val="00BB324E"/>
    <w:rsid w:val="00BB3EF7"/>
    <w:rsid w:val="00BB56E8"/>
    <w:rsid w:val="00BB6E97"/>
    <w:rsid w:val="00BB72DB"/>
    <w:rsid w:val="00BB7CBE"/>
    <w:rsid w:val="00BC12C4"/>
    <w:rsid w:val="00BC37D4"/>
    <w:rsid w:val="00BC467D"/>
    <w:rsid w:val="00BC649C"/>
    <w:rsid w:val="00BC669D"/>
    <w:rsid w:val="00BD08B7"/>
    <w:rsid w:val="00BD15D8"/>
    <w:rsid w:val="00BD1EB4"/>
    <w:rsid w:val="00BD378F"/>
    <w:rsid w:val="00BD45B8"/>
    <w:rsid w:val="00BD4EE3"/>
    <w:rsid w:val="00BD7047"/>
    <w:rsid w:val="00BD70CD"/>
    <w:rsid w:val="00BD7368"/>
    <w:rsid w:val="00BD7595"/>
    <w:rsid w:val="00BD7CA8"/>
    <w:rsid w:val="00BD7E7A"/>
    <w:rsid w:val="00BD7EA0"/>
    <w:rsid w:val="00BE37C1"/>
    <w:rsid w:val="00BE3DB0"/>
    <w:rsid w:val="00BE3F03"/>
    <w:rsid w:val="00BE3F05"/>
    <w:rsid w:val="00BE3FF9"/>
    <w:rsid w:val="00BE4DFC"/>
    <w:rsid w:val="00BE4E75"/>
    <w:rsid w:val="00BE5B35"/>
    <w:rsid w:val="00BE6634"/>
    <w:rsid w:val="00BE68C2"/>
    <w:rsid w:val="00BF011C"/>
    <w:rsid w:val="00BF0D67"/>
    <w:rsid w:val="00BF2F86"/>
    <w:rsid w:val="00BF321A"/>
    <w:rsid w:val="00BF3504"/>
    <w:rsid w:val="00BF465E"/>
    <w:rsid w:val="00BF638B"/>
    <w:rsid w:val="00BF6779"/>
    <w:rsid w:val="00BF6DEE"/>
    <w:rsid w:val="00BF6EC8"/>
    <w:rsid w:val="00BF7682"/>
    <w:rsid w:val="00C00842"/>
    <w:rsid w:val="00C0097D"/>
    <w:rsid w:val="00C0134F"/>
    <w:rsid w:val="00C013DC"/>
    <w:rsid w:val="00C02121"/>
    <w:rsid w:val="00C03187"/>
    <w:rsid w:val="00C048B9"/>
    <w:rsid w:val="00C04987"/>
    <w:rsid w:val="00C049C5"/>
    <w:rsid w:val="00C05B91"/>
    <w:rsid w:val="00C05D60"/>
    <w:rsid w:val="00C05E05"/>
    <w:rsid w:val="00C07201"/>
    <w:rsid w:val="00C07BDF"/>
    <w:rsid w:val="00C104BC"/>
    <w:rsid w:val="00C12427"/>
    <w:rsid w:val="00C125D5"/>
    <w:rsid w:val="00C12C1E"/>
    <w:rsid w:val="00C12CDF"/>
    <w:rsid w:val="00C12F09"/>
    <w:rsid w:val="00C1305B"/>
    <w:rsid w:val="00C13AE7"/>
    <w:rsid w:val="00C13E84"/>
    <w:rsid w:val="00C1442D"/>
    <w:rsid w:val="00C163EF"/>
    <w:rsid w:val="00C178A0"/>
    <w:rsid w:val="00C20B78"/>
    <w:rsid w:val="00C20FCE"/>
    <w:rsid w:val="00C21D7D"/>
    <w:rsid w:val="00C22C63"/>
    <w:rsid w:val="00C23127"/>
    <w:rsid w:val="00C235B9"/>
    <w:rsid w:val="00C2361D"/>
    <w:rsid w:val="00C236F0"/>
    <w:rsid w:val="00C24589"/>
    <w:rsid w:val="00C2577E"/>
    <w:rsid w:val="00C25A76"/>
    <w:rsid w:val="00C263C8"/>
    <w:rsid w:val="00C276B2"/>
    <w:rsid w:val="00C27771"/>
    <w:rsid w:val="00C30D61"/>
    <w:rsid w:val="00C31021"/>
    <w:rsid w:val="00C3113E"/>
    <w:rsid w:val="00C31D25"/>
    <w:rsid w:val="00C335C3"/>
    <w:rsid w:val="00C343F7"/>
    <w:rsid w:val="00C3476E"/>
    <w:rsid w:val="00C35ECC"/>
    <w:rsid w:val="00C36735"/>
    <w:rsid w:val="00C36AD6"/>
    <w:rsid w:val="00C36F84"/>
    <w:rsid w:val="00C41076"/>
    <w:rsid w:val="00C410C6"/>
    <w:rsid w:val="00C410D1"/>
    <w:rsid w:val="00C42CDA"/>
    <w:rsid w:val="00C42FA5"/>
    <w:rsid w:val="00C43A2E"/>
    <w:rsid w:val="00C447ED"/>
    <w:rsid w:val="00C44A87"/>
    <w:rsid w:val="00C45BBB"/>
    <w:rsid w:val="00C46C9C"/>
    <w:rsid w:val="00C47570"/>
    <w:rsid w:val="00C47665"/>
    <w:rsid w:val="00C50D20"/>
    <w:rsid w:val="00C5333D"/>
    <w:rsid w:val="00C54CC9"/>
    <w:rsid w:val="00C56145"/>
    <w:rsid w:val="00C5646C"/>
    <w:rsid w:val="00C56860"/>
    <w:rsid w:val="00C57FAD"/>
    <w:rsid w:val="00C615D7"/>
    <w:rsid w:val="00C61B0D"/>
    <w:rsid w:val="00C6232B"/>
    <w:rsid w:val="00C6250E"/>
    <w:rsid w:val="00C63D86"/>
    <w:rsid w:val="00C64B54"/>
    <w:rsid w:val="00C6557D"/>
    <w:rsid w:val="00C65B4A"/>
    <w:rsid w:val="00C66564"/>
    <w:rsid w:val="00C6671E"/>
    <w:rsid w:val="00C66D7A"/>
    <w:rsid w:val="00C673B3"/>
    <w:rsid w:val="00C67C48"/>
    <w:rsid w:val="00C67C9A"/>
    <w:rsid w:val="00C70BFE"/>
    <w:rsid w:val="00C71E0E"/>
    <w:rsid w:val="00C71FA9"/>
    <w:rsid w:val="00C72237"/>
    <w:rsid w:val="00C724DC"/>
    <w:rsid w:val="00C7254A"/>
    <w:rsid w:val="00C74135"/>
    <w:rsid w:val="00C74D71"/>
    <w:rsid w:val="00C74E55"/>
    <w:rsid w:val="00C75764"/>
    <w:rsid w:val="00C759DD"/>
    <w:rsid w:val="00C763C8"/>
    <w:rsid w:val="00C76724"/>
    <w:rsid w:val="00C7686E"/>
    <w:rsid w:val="00C76A4E"/>
    <w:rsid w:val="00C7772A"/>
    <w:rsid w:val="00C77889"/>
    <w:rsid w:val="00C804B1"/>
    <w:rsid w:val="00C80858"/>
    <w:rsid w:val="00C818DB"/>
    <w:rsid w:val="00C81E43"/>
    <w:rsid w:val="00C821B9"/>
    <w:rsid w:val="00C822F1"/>
    <w:rsid w:val="00C82346"/>
    <w:rsid w:val="00C84BD1"/>
    <w:rsid w:val="00C8527F"/>
    <w:rsid w:val="00C86366"/>
    <w:rsid w:val="00C86481"/>
    <w:rsid w:val="00C8663D"/>
    <w:rsid w:val="00C86BAD"/>
    <w:rsid w:val="00C86F42"/>
    <w:rsid w:val="00C874D3"/>
    <w:rsid w:val="00C91035"/>
    <w:rsid w:val="00C9200C"/>
    <w:rsid w:val="00C9225A"/>
    <w:rsid w:val="00C929B2"/>
    <w:rsid w:val="00C92CAE"/>
    <w:rsid w:val="00C939CB"/>
    <w:rsid w:val="00C93C02"/>
    <w:rsid w:val="00C9467A"/>
    <w:rsid w:val="00C957AA"/>
    <w:rsid w:val="00C95CBB"/>
    <w:rsid w:val="00C9603A"/>
    <w:rsid w:val="00C965CE"/>
    <w:rsid w:val="00C96631"/>
    <w:rsid w:val="00C972B7"/>
    <w:rsid w:val="00CA0CE9"/>
    <w:rsid w:val="00CA0E32"/>
    <w:rsid w:val="00CA273C"/>
    <w:rsid w:val="00CA27F3"/>
    <w:rsid w:val="00CA4D53"/>
    <w:rsid w:val="00CA4E46"/>
    <w:rsid w:val="00CA5673"/>
    <w:rsid w:val="00CA67FA"/>
    <w:rsid w:val="00CA7A6F"/>
    <w:rsid w:val="00CB19D8"/>
    <w:rsid w:val="00CB425E"/>
    <w:rsid w:val="00CB4904"/>
    <w:rsid w:val="00CB4C54"/>
    <w:rsid w:val="00CB5011"/>
    <w:rsid w:val="00CB58C1"/>
    <w:rsid w:val="00CB5D31"/>
    <w:rsid w:val="00CB5DA3"/>
    <w:rsid w:val="00CB5DC4"/>
    <w:rsid w:val="00CB5FE9"/>
    <w:rsid w:val="00CC01CC"/>
    <w:rsid w:val="00CC02B7"/>
    <w:rsid w:val="00CC2647"/>
    <w:rsid w:val="00CC2A2A"/>
    <w:rsid w:val="00CC2F48"/>
    <w:rsid w:val="00CC332F"/>
    <w:rsid w:val="00CC4BE8"/>
    <w:rsid w:val="00CC4E2E"/>
    <w:rsid w:val="00CC7553"/>
    <w:rsid w:val="00CC75AF"/>
    <w:rsid w:val="00CD04DD"/>
    <w:rsid w:val="00CD0F8C"/>
    <w:rsid w:val="00CD2667"/>
    <w:rsid w:val="00CD353E"/>
    <w:rsid w:val="00CD55A8"/>
    <w:rsid w:val="00CD58E0"/>
    <w:rsid w:val="00CD6020"/>
    <w:rsid w:val="00CD6022"/>
    <w:rsid w:val="00CD6294"/>
    <w:rsid w:val="00CD681D"/>
    <w:rsid w:val="00CD7177"/>
    <w:rsid w:val="00CD7AE8"/>
    <w:rsid w:val="00CE221B"/>
    <w:rsid w:val="00CE2B21"/>
    <w:rsid w:val="00CE2DA9"/>
    <w:rsid w:val="00CE33E1"/>
    <w:rsid w:val="00CE33FD"/>
    <w:rsid w:val="00CE36C0"/>
    <w:rsid w:val="00CE4C6D"/>
    <w:rsid w:val="00CF0060"/>
    <w:rsid w:val="00CF0106"/>
    <w:rsid w:val="00CF03B1"/>
    <w:rsid w:val="00CF0F25"/>
    <w:rsid w:val="00CF131D"/>
    <w:rsid w:val="00CF1468"/>
    <w:rsid w:val="00CF2245"/>
    <w:rsid w:val="00CF5011"/>
    <w:rsid w:val="00CF57B1"/>
    <w:rsid w:val="00CF5D3B"/>
    <w:rsid w:val="00CF6422"/>
    <w:rsid w:val="00CF6C40"/>
    <w:rsid w:val="00CF6D9E"/>
    <w:rsid w:val="00CF72E8"/>
    <w:rsid w:val="00CF7671"/>
    <w:rsid w:val="00CF782F"/>
    <w:rsid w:val="00CF7BE7"/>
    <w:rsid w:val="00D0297D"/>
    <w:rsid w:val="00D02E27"/>
    <w:rsid w:val="00D030AA"/>
    <w:rsid w:val="00D036B5"/>
    <w:rsid w:val="00D04573"/>
    <w:rsid w:val="00D10A08"/>
    <w:rsid w:val="00D10D16"/>
    <w:rsid w:val="00D11608"/>
    <w:rsid w:val="00D120F9"/>
    <w:rsid w:val="00D12A1D"/>
    <w:rsid w:val="00D12BF8"/>
    <w:rsid w:val="00D13186"/>
    <w:rsid w:val="00D13A8E"/>
    <w:rsid w:val="00D142B2"/>
    <w:rsid w:val="00D14AB0"/>
    <w:rsid w:val="00D15273"/>
    <w:rsid w:val="00D15D88"/>
    <w:rsid w:val="00D16DCE"/>
    <w:rsid w:val="00D20D7E"/>
    <w:rsid w:val="00D21BC7"/>
    <w:rsid w:val="00D2219B"/>
    <w:rsid w:val="00D222E1"/>
    <w:rsid w:val="00D22771"/>
    <w:rsid w:val="00D24CA7"/>
    <w:rsid w:val="00D25571"/>
    <w:rsid w:val="00D255C9"/>
    <w:rsid w:val="00D25B9F"/>
    <w:rsid w:val="00D25C0D"/>
    <w:rsid w:val="00D27579"/>
    <w:rsid w:val="00D30252"/>
    <w:rsid w:val="00D30B31"/>
    <w:rsid w:val="00D31263"/>
    <w:rsid w:val="00D319AC"/>
    <w:rsid w:val="00D3254E"/>
    <w:rsid w:val="00D33308"/>
    <w:rsid w:val="00D34DBE"/>
    <w:rsid w:val="00D35555"/>
    <w:rsid w:val="00D355EB"/>
    <w:rsid w:val="00D35907"/>
    <w:rsid w:val="00D35A61"/>
    <w:rsid w:val="00D403A2"/>
    <w:rsid w:val="00D4085F"/>
    <w:rsid w:val="00D414FC"/>
    <w:rsid w:val="00D41EB4"/>
    <w:rsid w:val="00D42AB7"/>
    <w:rsid w:val="00D42C29"/>
    <w:rsid w:val="00D4495A"/>
    <w:rsid w:val="00D45286"/>
    <w:rsid w:val="00D45372"/>
    <w:rsid w:val="00D45D64"/>
    <w:rsid w:val="00D465B3"/>
    <w:rsid w:val="00D467C8"/>
    <w:rsid w:val="00D46956"/>
    <w:rsid w:val="00D50646"/>
    <w:rsid w:val="00D5068D"/>
    <w:rsid w:val="00D51D0B"/>
    <w:rsid w:val="00D51E28"/>
    <w:rsid w:val="00D5450F"/>
    <w:rsid w:val="00D54734"/>
    <w:rsid w:val="00D54DC2"/>
    <w:rsid w:val="00D55616"/>
    <w:rsid w:val="00D55B6A"/>
    <w:rsid w:val="00D55CD7"/>
    <w:rsid w:val="00D573E0"/>
    <w:rsid w:val="00D60129"/>
    <w:rsid w:val="00D62185"/>
    <w:rsid w:val="00D62A4F"/>
    <w:rsid w:val="00D62DDF"/>
    <w:rsid w:val="00D63FB1"/>
    <w:rsid w:val="00D65299"/>
    <w:rsid w:val="00D66493"/>
    <w:rsid w:val="00D671CC"/>
    <w:rsid w:val="00D70D0E"/>
    <w:rsid w:val="00D71869"/>
    <w:rsid w:val="00D72269"/>
    <w:rsid w:val="00D72C8B"/>
    <w:rsid w:val="00D730C5"/>
    <w:rsid w:val="00D736E3"/>
    <w:rsid w:val="00D73AA6"/>
    <w:rsid w:val="00D74322"/>
    <w:rsid w:val="00D745A2"/>
    <w:rsid w:val="00D75569"/>
    <w:rsid w:val="00D76B5C"/>
    <w:rsid w:val="00D7725F"/>
    <w:rsid w:val="00D8025F"/>
    <w:rsid w:val="00D81428"/>
    <w:rsid w:val="00D8147C"/>
    <w:rsid w:val="00D81615"/>
    <w:rsid w:val="00D81EE4"/>
    <w:rsid w:val="00D8444D"/>
    <w:rsid w:val="00D84DC0"/>
    <w:rsid w:val="00D852BB"/>
    <w:rsid w:val="00D855AB"/>
    <w:rsid w:val="00D85C62"/>
    <w:rsid w:val="00D86733"/>
    <w:rsid w:val="00D86784"/>
    <w:rsid w:val="00D86AC0"/>
    <w:rsid w:val="00D86B7D"/>
    <w:rsid w:val="00D87C68"/>
    <w:rsid w:val="00D902DC"/>
    <w:rsid w:val="00D9161C"/>
    <w:rsid w:val="00D92178"/>
    <w:rsid w:val="00D93A06"/>
    <w:rsid w:val="00D93A5B"/>
    <w:rsid w:val="00D93D49"/>
    <w:rsid w:val="00D94044"/>
    <w:rsid w:val="00D941D9"/>
    <w:rsid w:val="00D9574A"/>
    <w:rsid w:val="00D97B22"/>
    <w:rsid w:val="00DA06EA"/>
    <w:rsid w:val="00DA078E"/>
    <w:rsid w:val="00DA0E7C"/>
    <w:rsid w:val="00DA0F44"/>
    <w:rsid w:val="00DA12F2"/>
    <w:rsid w:val="00DA16A0"/>
    <w:rsid w:val="00DA18A0"/>
    <w:rsid w:val="00DA1A61"/>
    <w:rsid w:val="00DA2E6F"/>
    <w:rsid w:val="00DA3B4D"/>
    <w:rsid w:val="00DA3E5A"/>
    <w:rsid w:val="00DA4875"/>
    <w:rsid w:val="00DA6ECB"/>
    <w:rsid w:val="00DB0282"/>
    <w:rsid w:val="00DB044C"/>
    <w:rsid w:val="00DB079F"/>
    <w:rsid w:val="00DB0CD6"/>
    <w:rsid w:val="00DB0F3F"/>
    <w:rsid w:val="00DB32CD"/>
    <w:rsid w:val="00DB336D"/>
    <w:rsid w:val="00DB3958"/>
    <w:rsid w:val="00DB5585"/>
    <w:rsid w:val="00DB5656"/>
    <w:rsid w:val="00DB5FF1"/>
    <w:rsid w:val="00DC05C6"/>
    <w:rsid w:val="00DC1200"/>
    <w:rsid w:val="00DC2143"/>
    <w:rsid w:val="00DC3D1B"/>
    <w:rsid w:val="00DC4242"/>
    <w:rsid w:val="00DC46D4"/>
    <w:rsid w:val="00DC63A7"/>
    <w:rsid w:val="00DC6D63"/>
    <w:rsid w:val="00DD04CF"/>
    <w:rsid w:val="00DD04FB"/>
    <w:rsid w:val="00DD0EFB"/>
    <w:rsid w:val="00DD0FC8"/>
    <w:rsid w:val="00DD216E"/>
    <w:rsid w:val="00DD58C3"/>
    <w:rsid w:val="00DD5C3B"/>
    <w:rsid w:val="00DD5EB7"/>
    <w:rsid w:val="00DD649F"/>
    <w:rsid w:val="00DD693E"/>
    <w:rsid w:val="00DD6DCE"/>
    <w:rsid w:val="00DD6F1A"/>
    <w:rsid w:val="00DD7305"/>
    <w:rsid w:val="00DD7906"/>
    <w:rsid w:val="00DD7C56"/>
    <w:rsid w:val="00DE2C8A"/>
    <w:rsid w:val="00DE5345"/>
    <w:rsid w:val="00DE64B5"/>
    <w:rsid w:val="00DE6B07"/>
    <w:rsid w:val="00DF1A5D"/>
    <w:rsid w:val="00DF1D29"/>
    <w:rsid w:val="00DF1DFD"/>
    <w:rsid w:val="00DF46BB"/>
    <w:rsid w:val="00DF543D"/>
    <w:rsid w:val="00DF7CC4"/>
    <w:rsid w:val="00DF7EFA"/>
    <w:rsid w:val="00E00B83"/>
    <w:rsid w:val="00E0122D"/>
    <w:rsid w:val="00E020BE"/>
    <w:rsid w:val="00E02606"/>
    <w:rsid w:val="00E0336D"/>
    <w:rsid w:val="00E047D4"/>
    <w:rsid w:val="00E049D3"/>
    <w:rsid w:val="00E04AF6"/>
    <w:rsid w:val="00E068FB"/>
    <w:rsid w:val="00E06D74"/>
    <w:rsid w:val="00E07A42"/>
    <w:rsid w:val="00E07EF3"/>
    <w:rsid w:val="00E10ECE"/>
    <w:rsid w:val="00E12271"/>
    <w:rsid w:val="00E125CD"/>
    <w:rsid w:val="00E1361C"/>
    <w:rsid w:val="00E136F7"/>
    <w:rsid w:val="00E13E1D"/>
    <w:rsid w:val="00E15947"/>
    <w:rsid w:val="00E16CA0"/>
    <w:rsid w:val="00E16F89"/>
    <w:rsid w:val="00E1737B"/>
    <w:rsid w:val="00E1740B"/>
    <w:rsid w:val="00E20C5D"/>
    <w:rsid w:val="00E219ED"/>
    <w:rsid w:val="00E225EA"/>
    <w:rsid w:val="00E22629"/>
    <w:rsid w:val="00E23FEB"/>
    <w:rsid w:val="00E24304"/>
    <w:rsid w:val="00E24514"/>
    <w:rsid w:val="00E2531A"/>
    <w:rsid w:val="00E2651A"/>
    <w:rsid w:val="00E308CF"/>
    <w:rsid w:val="00E31D20"/>
    <w:rsid w:val="00E33B83"/>
    <w:rsid w:val="00E33D51"/>
    <w:rsid w:val="00E3414D"/>
    <w:rsid w:val="00E3559F"/>
    <w:rsid w:val="00E358CA"/>
    <w:rsid w:val="00E37FC1"/>
    <w:rsid w:val="00E412EB"/>
    <w:rsid w:val="00E413EE"/>
    <w:rsid w:val="00E416AA"/>
    <w:rsid w:val="00E41FBB"/>
    <w:rsid w:val="00E439D1"/>
    <w:rsid w:val="00E441C2"/>
    <w:rsid w:val="00E44DB4"/>
    <w:rsid w:val="00E4539A"/>
    <w:rsid w:val="00E453AC"/>
    <w:rsid w:val="00E459A4"/>
    <w:rsid w:val="00E45A72"/>
    <w:rsid w:val="00E461EF"/>
    <w:rsid w:val="00E46F10"/>
    <w:rsid w:val="00E47E4C"/>
    <w:rsid w:val="00E47F8D"/>
    <w:rsid w:val="00E515C8"/>
    <w:rsid w:val="00E51864"/>
    <w:rsid w:val="00E51A30"/>
    <w:rsid w:val="00E52709"/>
    <w:rsid w:val="00E52BBA"/>
    <w:rsid w:val="00E53E71"/>
    <w:rsid w:val="00E53ECC"/>
    <w:rsid w:val="00E541EB"/>
    <w:rsid w:val="00E559A0"/>
    <w:rsid w:val="00E56612"/>
    <w:rsid w:val="00E56C1D"/>
    <w:rsid w:val="00E57050"/>
    <w:rsid w:val="00E6062C"/>
    <w:rsid w:val="00E60690"/>
    <w:rsid w:val="00E60808"/>
    <w:rsid w:val="00E60A81"/>
    <w:rsid w:val="00E60F84"/>
    <w:rsid w:val="00E6130D"/>
    <w:rsid w:val="00E620E5"/>
    <w:rsid w:val="00E62FE7"/>
    <w:rsid w:val="00E633AF"/>
    <w:rsid w:val="00E6376E"/>
    <w:rsid w:val="00E6394D"/>
    <w:rsid w:val="00E63C32"/>
    <w:rsid w:val="00E651CD"/>
    <w:rsid w:val="00E6745F"/>
    <w:rsid w:val="00E67784"/>
    <w:rsid w:val="00E7094B"/>
    <w:rsid w:val="00E70FBA"/>
    <w:rsid w:val="00E7166F"/>
    <w:rsid w:val="00E720A2"/>
    <w:rsid w:val="00E72630"/>
    <w:rsid w:val="00E72A90"/>
    <w:rsid w:val="00E72AE6"/>
    <w:rsid w:val="00E73330"/>
    <w:rsid w:val="00E7484B"/>
    <w:rsid w:val="00E74BB7"/>
    <w:rsid w:val="00E76E2F"/>
    <w:rsid w:val="00E777D3"/>
    <w:rsid w:val="00E77813"/>
    <w:rsid w:val="00E804BC"/>
    <w:rsid w:val="00E80705"/>
    <w:rsid w:val="00E80BAC"/>
    <w:rsid w:val="00E81B23"/>
    <w:rsid w:val="00E828EE"/>
    <w:rsid w:val="00E8344D"/>
    <w:rsid w:val="00E83704"/>
    <w:rsid w:val="00E8400D"/>
    <w:rsid w:val="00E8420D"/>
    <w:rsid w:val="00E84CB4"/>
    <w:rsid w:val="00E85B6A"/>
    <w:rsid w:val="00E85FFF"/>
    <w:rsid w:val="00E86A28"/>
    <w:rsid w:val="00E86D96"/>
    <w:rsid w:val="00E86F49"/>
    <w:rsid w:val="00E86F7E"/>
    <w:rsid w:val="00E9014D"/>
    <w:rsid w:val="00E91DCA"/>
    <w:rsid w:val="00E92168"/>
    <w:rsid w:val="00E92AF5"/>
    <w:rsid w:val="00E935D2"/>
    <w:rsid w:val="00E9555F"/>
    <w:rsid w:val="00E97069"/>
    <w:rsid w:val="00E97400"/>
    <w:rsid w:val="00E978E4"/>
    <w:rsid w:val="00EA0D99"/>
    <w:rsid w:val="00EA0E51"/>
    <w:rsid w:val="00EA1356"/>
    <w:rsid w:val="00EA20FA"/>
    <w:rsid w:val="00EA37A0"/>
    <w:rsid w:val="00EA434C"/>
    <w:rsid w:val="00EA4491"/>
    <w:rsid w:val="00EB1E86"/>
    <w:rsid w:val="00EB26CF"/>
    <w:rsid w:val="00EB3904"/>
    <w:rsid w:val="00EB6468"/>
    <w:rsid w:val="00EB6A9E"/>
    <w:rsid w:val="00EC1621"/>
    <w:rsid w:val="00EC187B"/>
    <w:rsid w:val="00EC2045"/>
    <w:rsid w:val="00EC2641"/>
    <w:rsid w:val="00EC358B"/>
    <w:rsid w:val="00EC3AEA"/>
    <w:rsid w:val="00EC4144"/>
    <w:rsid w:val="00EC488A"/>
    <w:rsid w:val="00EC6593"/>
    <w:rsid w:val="00EC719C"/>
    <w:rsid w:val="00EC73D3"/>
    <w:rsid w:val="00EC75CE"/>
    <w:rsid w:val="00EC7648"/>
    <w:rsid w:val="00EC7F93"/>
    <w:rsid w:val="00ED0BED"/>
    <w:rsid w:val="00ED1E76"/>
    <w:rsid w:val="00ED2588"/>
    <w:rsid w:val="00ED306C"/>
    <w:rsid w:val="00ED3CCF"/>
    <w:rsid w:val="00ED4298"/>
    <w:rsid w:val="00ED4F4E"/>
    <w:rsid w:val="00ED50E2"/>
    <w:rsid w:val="00ED5A9A"/>
    <w:rsid w:val="00ED71EA"/>
    <w:rsid w:val="00ED7212"/>
    <w:rsid w:val="00ED7892"/>
    <w:rsid w:val="00EE0F08"/>
    <w:rsid w:val="00EE2B85"/>
    <w:rsid w:val="00EE510F"/>
    <w:rsid w:val="00EE5239"/>
    <w:rsid w:val="00EE562A"/>
    <w:rsid w:val="00EE5EC4"/>
    <w:rsid w:val="00EE61F4"/>
    <w:rsid w:val="00EF05E5"/>
    <w:rsid w:val="00EF083D"/>
    <w:rsid w:val="00EF0CB3"/>
    <w:rsid w:val="00EF1280"/>
    <w:rsid w:val="00EF16E3"/>
    <w:rsid w:val="00EF2887"/>
    <w:rsid w:val="00EF2AB5"/>
    <w:rsid w:val="00EF2E58"/>
    <w:rsid w:val="00EF3949"/>
    <w:rsid w:val="00EF3AB2"/>
    <w:rsid w:val="00EF3B95"/>
    <w:rsid w:val="00EF439A"/>
    <w:rsid w:val="00EF4A26"/>
    <w:rsid w:val="00EF529B"/>
    <w:rsid w:val="00EF5967"/>
    <w:rsid w:val="00EF6476"/>
    <w:rsid w:val="00EF65A1"/>
    <w:rsid w:val="00EF73F8"/>
    <w:rsid w:val="00F02B37"/>
    <w:rsid w:val="00F0330D"/>
    <w:rsid w:val="00F0392F"/>
    <w:rsid w:val="00F04515"/>
    <w:rsid w:val="00F05B3F"/>
    <w:rsid w:val="00F05EE5"/>
    <w:rsid w:val="00F06F0F"/>
    <w:rsid w:val="00F10B53"/>
    <w:rsid w:val="00F11197"/>
    <w:rsid w:val="00F11286"/>
    <w:rsid w:val="00F11514"/>
    <w:rsid w:val="00F115D8"/>
    <w:rsid w:val="00F1278D"/>
    <w:rsid w:val="00F12829"/>
    <w:rsid w:val="00F138D8"/>
    <w:rsid w:val="00F14954"/>
    <w:rsid w:val="00F15B6B"/>
    <w:rsid w:val="00F176EC"/>
    <w:rsid w:val="00F17DDC"/>
    <w:rsid w:val="00F214DC"/>
    <w:rsid w:val="00F225AF"/>
    <w:rsid w:val="00F2284A"/>
    <w:rsid w:val="00F2299F"/>
    <w:rsid w:val="00F23344"/>
    <w:rsid w:val="00F239F8"/>
    <w:rsid w:val="00F247A3"/>
    <w:rsid w:val="00F2549A"/>
    <w:rsid w:val="00F26194"/>
    <w:rsid w:val="00F262F4"/>
    <w:rsid w:val="00F26ADE"/>
    <w:rsid w:val="00F26E5D"/>
    <w:rsid w:val="00F26EF9"/>
    <w:rsid w:val="00F27850"/>
    <w:rsid w:val="00F27873"/>
    <w:rsid w:val="00F3107E"/>
    <w:rsid w:val="00F32217"/>
    <w:rsid w:val="00F32402"/>
    <w:rsid w:val="00F3297A"/>
    <w:rsid w:val="00F32D23"/>
    <w:rsid w:val="00F336C2"/>
    <w:rsid w:val="00F33A3B"/>
    <w:rsid w:val="00F342A3"/>
    <w:rsid w:val="00F349BB"/>
    <w:rsid w:val="00F34C21"/>
    <w:rsid w:val="00F35384"/>
    <w:rsid w:val="00F35404"/>
    <w:rsid w:val="00F35F57"/>
    <w:rsid w:val="00F36723"/>
    <w:rsid w:val="00F3761C"/>
    <w:rsid w:val="00F405E7"/>
    <w:rsid w:val="00F41865"/>
    <w:rsid w:val="00F42D2B"/>
    <w:rsid w:val="00F431E6"/>
    <w:rsid w:val="00F43F9B"/>
    <w:rsid w:val="00F43FDB"/>
    <w:rsid w:val="00F4466B"/>
    <w:rsid w:val="00F448A5"/>
    <w:rsid w:val="00F44C5B"/>
    <w:rsid w:val="00F45045"/>
    <w:rsid w:val="00F45285"/>
    <w:rsid w:val="00F462D4"/>
    <w:rsid w:val="00F536A6"/>
    <w:rsid w:val="00F54076"/>
    <w:rsid w:val="00F541E4"/>
    <w:rsid w:val="00F545FA"/>
    <w:rsid w:val="00F54890"/>
    <w:rsid w:val="00F54FB4"/>
    <w:rsid w:val="00F551C9"/>
    <w:rsid w:val="00F56300"/>
    <w:rsid w:val="00F56F5D"/>
    <w:rsid w:val="00F57870"/>
    <w:rsid w:val="00F643EE"/>
    <w:rsid w:val="00F64DD4"/>
    <w:rsid w:val="00F64DD8"/>
    <w:rsid w:val="00F655FC"/>
    <w:rsid w:val="00F6774C"/>
    <w:rsid w:val="00F71B1B"/>
    <w:rsid w:val="00F725EE"/>
    <w:rsid w:val="00F72F46"/>
    <w:rsid w:val="00F730F5"/>
    <w:rsid w:val="00F7322C"/>
    <w:rsid w:val="00F7469F"/>
    <w:rsid w:val="00F74870"/>
    <w:rsid w:val="00F74C87"/>
    <w:rsid w:val="00F74DED"/>
    <w:rsid w:val="00F75467"/>
    <w:rsid w:val="00F80570"/>
    <w:rsid w:val="00F809ED"/>
    <w:rsid w:val="00F80CDC"/>
    <w:rsid w:val="00F8186C"/>
    <w:rsid w:val="00F8312F"/>
    <w:rsid w:val="00F836B4"/>
    <w:rsid w:val="00F8422C"/>
    <w:rsid w:val="00F85526"/>
    <w:rsid w:val="00F86DC5"/>
    <w:rsid w:val="00F872E7"/>
    <w:rsid w:val="00F874AF"/>
    <w:rsid w:val="00F9211F"/>
    <w:rsid w:val="00F92F80"/>
    <w:rsid w:val="00F9325F"/>
    <w:rsid w:val="00F93866"/>
    <w:rsid w:val="00F93A52"/>
    <w:rsid w:val="00F9482F"/>
    <w:rsid w:val="00F94FF1"/>
    <w:rsid w:val="00F96CC1"/>
    <w:rsid w:val="00F9792B"/>
    <w:rsid w:val="00FA01C3"/>
    <w:rsid w:val="00FA0667"/>
    <w:rsid w:val="00FA1295"/>
    <w:rsid w:val="00FA1C99"/>
    <w:rsid w:val="00FA3FEA"/>
    <w:rsid w:val="00FA45FC"/>
    <w:rsid w:val="00FA51AB"/>
    <w:rsid w:val="00FA529F"/>
    <w:rsid w:val="00FA5581"/>
    <w:rsid w:val="00FA5A1F"/>
    <w:rsid w:val="00FA5B6E"/>
    <w:rsid w:val="00FA6509"/>
    <w:rsid w:val="00FA6CFE"/>
    <w:rsid w:val="00FB101D"/>
    <w:rsid w:val="00FB213B"/>
    <w:rsid w:val="00FB25A3"/>
    <w:rsid w:val="00FB31DA"/>
    <w:rsid w:val="00FB33BF"/>
    <w:rsid w:val="00FB376C"/>
    <w:rsid w:val="00FB3885"/>
    <w:rsid w:val="00FB3FF9"/>
    <w:rsid w:val="00FB43E4"/>
    <w:rsid w:val="00FB4636"/>
    <w:rsid w:val="00FB4B5F"/>
    <w:rsid w:val="00FB5350"/>
    <w:rsid w:val="00FB5769"/>
    <w:rsid w:val="00FB64E8"/>
    <w:rsid w:val="00FB68E4"/>
    <w:rsid w:val="00FB6B61"/>
    <w:rsid w:val="00FC03AC"/>
    <w:rsid w:val="00FC07CB"/>
    <w:rsid w:val="00FC0ED7"/>
    <w:rsid w:val="00FC1096"/>
    <w:rsid w:val="00FC272D"/>
    <w:rsid w:val="00FC2789"/>
    <w:rsid w:val="00FC41A0"/>
    <w:rsid w:val="00FC456B"/>
    <w:rsid w:val="00FC4931"/>
    <w:rsid w:val="00FC605E"/>
    <w:rsid w:val="00FC648B"/>
    <w:rsid w:val="00FC65E3"/>
    <w:rsid w:val="00FC7AF2"/>
    <w:rsid w:val="00FC7C5A"/>
    <w:rsid w:val="00FD0ABD"/>
    <w:rsid w:val="00FD1010"/>
    <w:rsid w:val="00FD2FD9"/>
    <w:rsid w:val="00FD3B51"/>
    <w:rsid w:val="00FD4444"/>
    <w:rsid w:val="00FD535A"/>
    <w:rsid w:val="00FD54BB"/>
    <w:rsid w:val="00FD5876"/>
    <w:rsid w:val="00FD5EE6"/>
    <w:rsid w:val="00FD645F"/>
    <w:rsid w:val="00FD66E1"/>
    <w:rsid w:val="00FD6D41"/>
    <w:rsid w:val="00FD7B21"/>
    <w:rsid w:val="00FE16BE"/>
    <w:rsid w:val="00FE2221"/>
    <w:rsid w:val="00FE27E1"/>
    <w:rsid w:val="00FE29CC"/>
    <w:rsid w:val="00FE3934"/>
    <w:rsid w:val="00FE5CB1"/>
    <w:rsid w:val="00FE631A"/>
    <w:rsid w:val="00FE68BE"/>
    <w:rsid w:val="00FE7AFC"/>
    <w:rsid w:val="00FF0553"/>
    <w:rsid w:val="00FF089B"/>
    <w:rsid w:val="00FF110F"/>
    <w:rsid w:val="00FF14F5"/>
    <w:rsid w:val="00FF1777"/>
    <w:rsid w:val="00FF2271"/>
    <w:rsid w:val="00FF2867"/>
    <w:rsid w:val="00FF351C"/>
    <w:rsid w:val="00FF3D34"/>
    <w:rsid w:val="00FF4456"/>
    <w:rsid w:val="00FF4BCA"/>
    <w:rsid w:val="00FF4CA9"/>
    <w:rsid w:val="00FF507F"/>
    <w:rsid w:val="00FF51C2"/>
    <w:rsid w:val="00FF771D"/>
    <w:rsid w:val="01124876"/>
    <w:rsid w:val="01160E8D"/>
    <w:rsid w:val="01602AA7"/>
    <w:rsid w:val="01684B3F"/>
    <w:rsid w:val="01755AF3"/>
    <w:rsid w:val="017FAE9B"/>
    <w:rsid w:val="0180F376"/>
    <w:rsid w:val="018ECCE2"/>
    <w:rsid w:val="01A211D7"/>
    <w:rsid w:val="01B083A7"/>
    <w:rsid w:val="01CB27E1"/>
    <w:rsid w:val="01F281B1"/>
    <w:rsid w:val="02314DE4"/>
    <w:rsid w:val="02C19E0A"/>
    <w:rsid w:val="02EF361C"/>
    <w:rsid w:val="034DCA07"/>
    <w:rsid w:val="03C7EBB5"/>
    <w:rsid w:val="03F7C33D"/>
    <w:rsid w:val="041E3BB4"/>
    <w:rsid w:val="043C121C"/>
    <w:rsid w:val="0452E0D3"/>
    <w:rsid w:val="0459B020"/>
    <w:rsid w:val="04B6341C"/>
    <w:rsid w:val="04C2355E"/>
    <w:rsid w:val="05069B9D"/>
    <w:rsid w:val="052521C8"/>
    <w:rsid w:val="05579FF0"/>
    <w:rsid w:val="058875DA"/>
    <w:rsid w:val="058D2A73"/>
    <w:rsid w:val="05AB2CF4"/>
    <w:rsid w:val="05F91F98"/>
    <w:rsid w:val="06914C4D"/>
    <w:rsid w:val="06C6A9F1"/>
    <w:rsid w:val="06F70D61"/>
    <w:rsid w:val="073C935C"/>
    <w:rsid w:val="0745C1D3"/>
    <w:rsid w:val="0752513C"/>
    <w:rsid w:val="078C3201"/>
    <w:rsid w:val="07C5FBE6"/>
    <w:rsid w:val="07CC22E1"/>
    <w:rsid w:val="07DB18F0"/>
    <w:rsid w:val="08222113"/>
    <w:rsid w:val="0838A556"/>
    <w:rsid w:val="085BA56D"/>
    <w:rsid w:val="08890137"/>
    <w:rsid w:val="08B4735E"/>
    <w:rsid w:val="090A9D1A"/>
    <w:rsid w:val="0911A31F"/>
    <w:rsid w:val="0961506B"/>
    <w:rsid w:val="0A000C16"/>
    <w:rsid w:val="0A36643D"/>
    <w:rsid w:val="0A3F11AF"/>
    <w:rsid w:val="0A789793"/>
    <w:rsid w:val="0AC7626F"/>
    <w:rsid w:val="0B15DC47"/>
    <w:rsid w:val="0B23C359"/>
    <w:rsid w:val="0B3EB2E2"/>
    <w:rsid w:val="0B6B7715"/>
    <w:rsid w:val="0B6C87A2"/>
    <w:rsid w:val="0BC91B31"/>
    <w:rsid w:val="0BD535B9"/>
    <w:rsid w:val="0BE16F7C"/>
    <w:rsid w:val="0BEB9F5F"/>
    <w:rsid w:val="0BF6F0C6"/>
    <w:rsid w:val="0C047921"/>
    <w:rsid w:val="0C24A988"/>
    <w:rsid w:val="0C2EA70F"/>
    <w:rsid w:val="0C470B5B"/>
    <w:rsid w:val="0C8BB808"/>
    <w:rsid w:val="0CD3075B"/>
    <w:rsid w:val="0D0CD69F"/>
    <w:rsid w:val="0D160207"/>
    <w:rsid w:val="0D1A2404"/>
    <w:rsid w:val="0D622FF1"/>
    <w:rsid w:val="0D7AFA88"/>
    <w:rsid w:val="0D912679"/>
    <w:rsid w:val="0DCE2C76"/>
    <w:rsid w:val="0DD8286C"/>
    <w:rsid w:val="0DE80191"/>
    <w:rsid w:val="0E04A19C"/>
    <w:rsid w:val="0E31CA9A"/>
    <w:rsid w:val="0E60FA8C"/>
    <w:rsid w:val="0E635862"/>
    <w:rsid w:val="0E665CF7"/>
    <w:rsid w:val="0EAF96AB"/>
    <w:rsid w:val="0F0813D9"/>
    <w:rsid w:val="0F596353"/>
    <w:rsid w:val="0F5B354B"/>
    <w:rsid w:val="0F97C4D1"/>
    <w:rsid w:val="0FD7EF6C"/>
    <w:rsid w:val="103B9736"/>
    <w:rsid w:val="10430D69"/>
    <w:rsid w:val="10684696"/>
    <w:rsid w:val="10A8254B"/>
    <w:rsid w:val="11D51B2D"/>
    <w:rsid w:val="11D9F36B"/>
    <w:rsid w:val="11DC45D3"/>
    <w:rsid w:val="11DFCF54"/>
    <w:rsid w:val="11FE52FD"/>
    <w:rsid w:val="129AD97D"/>
    <w:rsid w:val="12B700AE"/>
    <w:rsid w:val="12CDE01B"/>
    <w:rsid w:val="12CFF3F4"/>
    <w:rsid w:val="130B95C0"/>
    <w:rsid w:val="1318E52A"/>
    <w:rsid w:val="135B133A"/>
    <w:rsid w:val="135F79AF"/>
    <w:rsid w:val="135FBF7E"/>
    <w:rsid w:val="1374E1F9"/>
    <w:rsid w:val="137B0219"/>
    <w:rsid w:val="1396AAA3"/>
    <w:rsid w:val="13B10A6A"/>
    <w:rsid w:val="13B15797"/>
    <w:rsid w:val="13B2FEEF"/>
    <w:rsid w:val="141BC947"/>
    <w:rsid w:val="143A43C5"/>
    <w:rsid w:val="147D2211"/>
    <w:rsid w:val="1485AA9A"/>
    <w:rsid w:val="148BFFC1"/>
    <w:rsid w:val="1506873C"/>
    <w:rsid w:val="153C3D84"/>
    <w:rsid w:val="157C0773"/>
    <w:rsid w:val="15887E47"/>
    <w:rsid w:val="15DA0212"/>
    <w:rsid w:val="15FCEFA5"/>
    <w:rsid w:val="16006973"/>
    <w:rsid w:val="161513D1"/>
    <w:rsid w:val="1658D824"/>
    <w:rsid w:val="16632BA1"/>
    <w:rsid w:val="167957F6"/>
    <w:rsid w:val="167B7A2E"/>
    <w:rsid w:val="16A38449"/>
    <w:rsid w:val="16AE5924"/>
    <w:rsid w:val="17300E07"/>
    <w:rsid w:val="1777A794"/>
    <w:rsid w:val="17930FB6"/>
    <w:rsid w:val="17ACA0EF"/>
    <w:rsid w:val="17D01195"/>
    <w:rsid w:val="17DE075A"/>
    <w:rsid w:val="1845FCA6"/>
    <w:rsid w:val="185DA9E9"/>
    <w:rsid w:val="185FA905"/>
    <w:rsid w:val="18674280"/>
    <w:rsid w:val="18D82A74"/>
    <w:rsid w:val="18D9C2EF"/>
    <w:rsid w:val="195BE9D2"/>
    <w:rsid w:val="1984600E"/>
    <w:rsid w:val="198E7208"/>
    <w:rsid w:val="19E054A1"/>
    <w:rsid w:val="19E26615"/>
    <w:rsid w:val="19E96F49"/>
    <w:rsid w:val="1A3156B3"/>
    <w:rsid w:val="1A3987E7"/>
    <w:rsid w:val="1A67B05C"/>
    <w:rsid w:val="1A863E71"/>
    <w:rsid w:val="1ABC95A3"/>
    <w:rsid w:val="1ABD0D4F"/>
    <w:rsid w:val="1AEF869A"/>
    <w:rsid w:val="1B29D3DC"/>
    <w:rsid w:val="1B3537E7"/>
    <w:rsid w:val="1B99CAC2"/>
    <w:rsid w:val="1BC9B892"/>
    <w:rsid w:val="1C0A1B11"/>
    <w:rsid w:val="1C176808"/>
    <w:rsid w:val="1C49FD3A"/>
    <w:rsid w:val="1C97AF6C"/>
    <w:rsid w:val="1CB0A359"/>
    <w:rsid w:val="1CC11551"/>
    <w:rsid w:val="1CD91CA1"/>
    <w:rsid w:val="1D1CC546"/>
    <w:rsid w:val="1D637974"/>
    <w:rsid w:val="1D7BC290"/>
    <w:rsid w:val="1DF0552B"/>
    <w:rsid w:val="1DFB2D67"/>
    <w:rsid w:val="1E0F331A"/>
    <w:rsid w:val="1E103BA5"/>
    <w:rsid w:val="1E43A5B8"/>
    <w:rsid w:val="1E46A09E"/>
    <w:rsid w:val="1E5CFDF2"/>
    <w:rsid w:val="1F32F78A"/>
    <w:rsid w:val="1F366680"/>
    <w:rsid w:val="1F7CBCD2"/>
    <w:rsid w:val="1FA016FC"/>
    <w:rsid w:val="1FCC1246"/>
    <w:rsid w:val="1FD0654B"/>
    <w:rsid w:val="1FDFDE69"/>
    <w:rsid w:val="2019FEC5"/>
    <w:rsid w:val="206BDB58"/>
    <w:rsid w:val="207CC163"/>
    <w:rsid w:val="20C072CD"/>
    <w:rsid w:val="20C9EFEB"/>
    <w:rsid w:val="21085200"/>
    <w:rsid w:val="21118B2F"/>
    <w:rsid w:val="211C29B5"/>
    <w:rsid w:val="211C7180"/>
    <w:rsid w:val="211CCCA7"/>
    <w:rsid w:val="2126AE09"/>
    <w:rsid w:val="21626FB1"/>
    <w:rsid w:val="21DBD5E4"/>
    <w:rsid w:val="21DC8A2A"/>
    <w:rsid w:val="2214258A"/>
    <w:rsid w:val="2251E869"/>
    <w:rsid w:val="226E68F5"/>
    <w:rsid w:val="228F0FA4"/>
    <w:rsid w:val="22C2B138"/>
    <w:rsid w:val="22C413EE"/>
    <w:rsid w:val="22C6590F"/>
    <w:rsid w:val="22D29C2E"/>
    <w:rsid w:val="22D77949"/>
    <w:rsid w:val="23421A4C"/>
    <w:rsid w:val="23F3833C"/>
    <w:rsid w:val="23F8062B"/>
    <w:rsid w:val="2403859B"/>
    <w:rsid w:val="2423640F"/>
    <w:rsid w:val="2431A1AC"/>
    <w:rsid w:val="24AA3EB3"/>
    <w:rsid w:val="24B059BD"/>
    <w:rsid w:val="24B33695"/>
    <w:rsid w:val="24E1C401"/>
    <w:rsid w:val="24F7680B"/>
    <w:rsid w:val="25D1CF4F"/>
    <w:rsid w:val="25F3E3FC"/>
    <w:rsid w:val="25F96F43"/>
    <w:rsid w:val="267ED7AB"/>
    <w:rsid w:val="268C4022"/>
    <w:rsid w:val="26C0C744"/>
    <w:rsid w:val="26C69960"/>
    <w:rsid w:val="2782CEAE"/>
    <w:rsid w:val="2791A0C1"/>
    <w:rsid w:val="27B3E1CA"/>
    <w:rsid w:val="27E07A8F"/>
    <w:rsid w:val="28012684"/>
    <w:rsid w:val="2858C7E2"/>
    <w:rsid w:val="2859163C"/>
    <w:rsid w:val="288B8396"/>
    <w:rsid w:val="290F5419"/>
    <w:rsid w:val="29285F4B"/>
    <w:rsid w:val="293FDC77"/>
    <w:rsid w:val="294EAD02"/>
    <w:rsid w:val="295BBBD0"/>
    <w:rsid w:val="29ADBCEC"/>
    <w:rsid w:val="29CA66E4"/>
    <w:rsid w:val="2A18307F"/>
    <w:rsid w:val="2A230884"/>
    <w:rsid w:val="2AAA91DB"/>
    <w:rsid w:val="2AC04287"/>
    <w:rsid w:val="2B4311FC"/>
    <w:rsid w:val="2B48D23E"/>
    <w:rsid w:val="2B5FBBE1"/>
    <w:rsid w:val="2B84969B"/>
    <w:rsid w:val="2B8A5E2A"/>
    <w:rsid w:val="2B8CE1C0"/>
    <w:rsid w:val="2BC8ECB1"/>
    <w:rsid w:val="2BDCF259"/>
    <w:rsid w:val="2BDE7F9D"/>
    <w:rsid w:val="2C0A6440"/>
    <w:rsid w:val="2C1BA901"/>
    <w:rsid w:val="2C2B8CD1"/>
    <w:rsid w:val="2C650E04"/>
    <w:rsid w:val="2C7199E0"/>
    <w:rsid w:val="2C80334E"/>
    <w:rsid w:val="2C812A0E"/>
    <w:rsid w:val="2CC6C3C8"/>
    <w:rsid w:val="2D5C26CD"/>
    <w:rsid w:val="2DA772A3"/>
    <w:rsid w:val="2DBF3AAB"/>
    <w:rsid w:val="2DDE12F1"/>
    <w:rsid w:val="2E4186F0"/>
    <w:rsid w:val="2E7A2AB8"/>
    <w:rsid w:val="2EBBAFFF"/>
    <w:rsid w:val="2ED63040"/>
    <w:rsid w:val="2EF1076C"/>
    <w:rsid w:val="2F43386B"/>
    <w:rsid w:val="2F54F137"/>
    <w:rsid w:val="2F65BECA"/>
    <w:rsid w:val="2FC50508"/>
    <w:rsid w:val="2FF7148C"/>
    <w:rsid w:val="2FFB0C43"/>
    <w:rsid w:val="30168F29"/>
    <w:rsid w:val="306D83D4"/>
    <w:rsid w:val="307F3403"/>
    <w:rsid w:val="308C7489"/>
    <w:rsid w:val="30BE3C8C"/>
    <w:rsid w:val="30BFB77C"/>
    <w:rsid w:val="30E11EA5"/>
    <w:rsid w:val="30E3F18C"/>
    <w:rsid w:val="30FECE06"/>
    <w:rsid w:val="3118DFBF"/>
    <w:rsid w:val="314E49B5"/>
    <w:rsid w:val="31640969"/>
    <w:rsid w:val="319C1759"/>
    <w:rsid w:val="31E5079C"/>
    <w:rsid w:val="31ED90E5"/>
    <w:rsid w:val="32268856"/>
    <w:rsid w:val="32AAB3FF"/>
    <w:rsid w:val="32B609B4"/>
    <w:rsid w:val="32DB2FE6"/>
    <w:rsid w:val="32E45069"/>
    <w:rsid w:val="33793D5E"/>
    <w:rsid w:val="33D5CF89"/>
    <w:rsid w:val="33D7CEE6"/>
    <w:rsid w:val="34157A55"/>
    <w:rsid w:val="343E18B3"/>
    <w:rsid w:val="3457B175"/>
    <w:rsid w:val="346BBA15"/>
    <w:rsid w:val="348FB5A2"/>
    <w:rsid w:val="34ACD27E"/>
    <w:rsid w:val="350B6207"/>
    <w:rsid w:val="352941F1"/>
    <w:rsid w:val="352BD110"/>
    <w:rsid w:val="352E7100"/>
    <w:rsid w:val="353BFE46"/>
    <w:rsid w:val="3544322E"/>
    <w:rsid w:val="3548E431"/>
    <w:rsid w:val="3554EA19"/>
    <w:rsid w:val="357F1965"/>
    <w:rsid w:val="3589A302"/>
    <w:rsid w:val="35A11292"/>
    <w:rsid w:val="35CA1C2B"/>
    <w:rsid w:val="35CCAC41"/>
    <w:rsid w:val="36293BC3"/>
    <w:rsid w:val="36433C90"/>
    <w:rsid w:val="3663DF18"/>
    <w:rsid w:val="36811D10"/>
    <w:rsid w:val="368D5C01"/>
    <w:rsid w:val="36FEEA2A"/>
    <w:rsid w:val="37090D61"/>
    <w:rsid w:val="370EC1DD"/>
    <w:rsid w:val="3754C2CA"/>
    <w:rsid w:val="378A1891"/>
    <w:rsid w:val="37D246E6"/>
    <w:rsid w:val="38280C7F"/>
    <w:rsid w:val="38619645"/>
    <w:rsid w:val="3898B392"/>
    <w:rsid w:val="38C265F4"/>
    <w:rsid w:val="390A0145"/>
    <w:rsid w:val="39505C3A"/>
    <w:rsid w:val="395C057E"/>
    <w:rsid w:val="395DA6D5"/>
    <w:rsid w:val="39CB8C4D"/>
    <w:rsid w:val="3A3B7D40"/>
    <w:rsid w:val="3A86C7CB"/>
    <w:rsid w:val="3A8FFC3D"/>
    <w:rsid w:val="3AC873DE"/>
    <w:rsid w:val="3AEFACF0"/>
    <w:rsid w:val="3B62B4D8"/>
    <w:rsid w:val="3B70C031"/>
    <w:rsid w:val="3BA2AC39"/>
    <w:rsid w:val="3BC3C401"/>
    <w:rsid w:val="3BD28242"/>
    <w:rsid w:val="3C20DF56"/>
    <w:rsid w:val="3C3836C2"/>
    <w:rsid w:val="3C522E6E"/>
    <w:rsid w:val="3C5647D4"/>
    <w:rsid w:val="3C900D77"/>
    <w:rsid w:val="3C95082D"/>
    <w:rsid w:val="3C9EBD1C"/>
    <w:rsid w:val="3CA41675"/>
    <w:rsid w:val="3CD50EA8"/>
    <w:rsid w:val="3D18A87B"/>
    <w:rsid w:val="3D552E69"/>
    <w:rsid w:val="3E1C9116"/>
    <w:rsid w:val="3E63A6E2"/>
    <w:rsid w:val="3EBBABEE"/>
    <w:rsid w:val="3EC8F6B7"/>
    <w:rsid w:val="3F062756"/>
    <w:rsid w:val="3F72C700"/>
    <w:rsid w:val="3F8E53AC"/>
    <w:rsid w:val="3F987F80"/>
    <w:rsid w:val="3FC16229"/>
    <w:rsid w:val="3FE396F2"/>
    <w:rsid w:val="3FE7044D"/>
    <w:rsid w:val="4028A974"/>
    <w:rsid w:val="406A3630"/>
    <w:rsid w:val="409A4699"/>
    <w:rsid w:val="40E06D2D"/>
    <w:rsid w:val="40ED7254"/>
    <w:rsid w:val="40F7938E"/>
    <w:rsid w:val="4172CD91"/>
    <w:rsid w:val="419062DA"/>
    <w:rsid w:val="41BD8FE6"/>
    <w:rsid w:val="421C0C93"/>
    <w:rsid w:val="4235EF39"/>
    <w:rsid w:val="42457C36"/>
    <w:rsid w:val="425FA13F"/>
    <w:rsid w:val="42BF574A"/>
    <w:rsid w:val="431390C4"/>
    <w:rsid w:val="4321A8A7"/>
    <w:rsid w:val="4343A2AB"/>
    <w:rsid w:val="439F5287"/>
    <w:rsid w:val="43A9FE88"/>
    <w:rsid w:val="43B6F241"/>
    <w:rsid w:val="43C75AAA"/>
    <w:rsid w:val="45150FBA"/>
    <w:rsid w:val="454906C2"/>
    <w:rsid w:val="455FFCA4"/>
    <w:rsid w:val="45FE5FC1"/>
    <w:rsid w:val="46156163"/>
    <w:rsid w:val="46274F1B"/>
    <w:rsid w:val="46786F04"/>
    <w:rsid w:val="46BFC94D"/>
    <w:rsid w:val="46C7E5F2"/>
    <w:rsid w:val="46D501E0"/>
    <w:rsid w:val="46D94F12"/>
    <w:rsid w:val="47070CFD"/>
    <w:rsid w:val="4728111C"/>
    <w:rsid w:val="476668CE"/>
    <w:rsid w:val="477E60F4"/>
    <w:rsid w:val="478D6228"/>
    <w:rsid w:val="47D90B15"/>
    <w:rsid w:val="47DE50E7"/>
    <w:rsid w:val="488A043F"/>
    <w:rsid w:val="48D10E56"/>
    <w:rsid w:val="48E9852D"/>
    <w:rsid w:val="4924A4A5"/>
    <w:rsid w:val="4969B9C8"/>
    <w:rsid w:val="49D3A094"/>
    <w:rsid w:val="4A108778"/>
    <w:rsid w:val="4A22727B"/>
    <w:rsid w:val="4A3841BB"/>
    <w:rsid w:val="4A6FCE5D"/>
    <w:rsid w:val="4A761C1A"/>
    <w:rsid w:val="4A9F4106"/>
    <w:rsid w:val="4AB7D7D3"/>
    <w:rsid w:val="4ABD9645"/>
    <w:rsid w:val="4B0DFF41"/>
    <w:rsid w:val="4B6041A5"/>
    <w:rsid w:val="4B8912F6"/>
    <w:rsid w:val="4B89CEEA"/>
    <w:rsid w:val="4BA8C2F8"/>
    <w:rsid w:val="4BC4EA7E"/>
    <w:rsid w:val="4BCCCD3C"/>
    <w:rsid w:val="4BD53120"/>
    <w:rsid w:val="4BD9E6A2"/>
    <w:rsid w:val="4BED7EE8"/>
    <w:rsid w:val="4C00D901"/>
    <w:rsid w:val="4C3129A3"/>
    <w:rsid w:val="4C946D71"/>
    <w:rsid w:val="4CBB2A4A"/>
    <w:rsid w:val="4D2F4D0D"/>
    <w:rsid w:val="4D4BE92B"/>
    <w:rsid w:val="4D55F672"/>
    <w:rsid w:val="4D6D1D18"/>
    <w:rsid w:val="4DAA39AA"/>
    <w:rsid w:val="4DE21305"/>
    <w:rsid w:val="4DEF5E2C"/>
    <w:rsid w:val="4E646139"/>
    <w:rsid w:val="4E6A05F2"/>
    <w:rsid w:val="4EE1832E"/>
    <w:rsid w:val="4F0BC22A"/>
    <w:rsid w:val="4F5C5173"/>
    <w:rsid w:val="4F68BF7A"/>
    <w:rsid w:val="4F8BD0E0"/>
    <w:rsid w:val="4F9D730D"/>
    <w:rsid w:val="4FB39685"/>
    <w:rsid w:val="4FD9B648"/>
    <w:rsid w:val="500059B9"/>
    <w:rsid w:val="501A0249"/>
    <w:rsid w:val="504EE82F"/>
    <w:rsid w:val="50A32F2B"/>
    <w:rsid w:val="50C6725E"/>
    <w:rsid w:val="50DE8A7A"/>
    <w:rsid w:val="50E008AB"/>
    <w:rsid w:val="50E0EB4F"/>
    <w:rsid w:val="51355606"/>
    <w:rsid w:val="51909EAA"/>
    <w:rsid w:val="527EBF1D"/>
    <w:rsid w:val="52886C59"/>
    <w:rsid w:val="5294F7B0"/>
    <w:rsid w:val="53332EBA"/>
    <w:rsid w:val="53655CED"/>
    <w:rsid w:val="5369CEC1"/>
    <w:rsid w:val="5372A548"/>
    <w:rsid w:val="539B38D5"/>
    <w:rsid w:val="53A1C267"/>
    <w:rsid w:val="53D92ACB"/>
    <w:rsid w:val="53ED6380"/>
    <w:rsid w:val="54585592"/>
    <w:rsid w:val="5471B3EF"/>
    <w:rsid w:val="549D2E58"/>
    <w:rsid w:val="54D1628F"/>
    <w:rsid w:val="5564B0DA"/>
    <w:rsid w:val="556A4156"/>
    <w:rsid w:val="55E02E61"/>
    <w:rsid w:val="55E2FDAC"/>
    <w:rsid w:val="56221AEB"/>
    <w:rsid w:val="56801216"/>
    <w:rsid w:val="5697EFCB"/>
    <w:rsid w:val="56A4A4CC"/>
    <w:rsid w:val="56AD564A"/>
    <w:rsid w:val="56D07B35"/>
    <w:rsid w:val="570ED3DC"/>
    <w:rsid w:val="57181039"/>
    <w:rsid w:val="57194BDC"/>
    <w:rsid w:val="572218B6"/>
    <w:rsid w:val="57684F84"/>
    <w:rsid w:val="57746EAA"/>
    <w:rsid w:val="5787131D"/>
    <w:rsid w:val="579EE39E"/>
    <w:rsid w:val="58144824"/>
    <w:rsid w:val="583012FE"/>
    <w:rsid w:val="5845034C"/>
    <w:rsid w:val="585CAB14"/>
    <w:rsid w:val="586D8D47"/>
    <w:rsid w:val="586DA79C"/>
    <w:rsid w:val="586EA117"/>
    <w:rsid w:val="58C8F847"/>
    <w:rsid w:val="58E42202"/>
    <w:rsid w:val="590CC306"/>
    <w:rsid w:val="5928A7A0"/>
    <w:rsid w:val="5934C7D4"/>
    <w:rsid w:val="5950DB43"/>
    <w:rsid w:val="5953154C"/>
    <w:rsid w:val="597D5E03"/>
    <w:rsid w:val="59844BD5"/>
    <w:rsid w:val="59C72C45"/>
    <w:rsid w:val="5A11BC66"/>
    <w:rsid w:val="5A124560"/>
    <w:rsid w:val="5A15989F"/>
    <w:rsid w:val="5A57935F"/>
    <w:rsid w:val="5A5AEDDB"/>
    <w:rsid w:val="5A7E2592"/>
    <w:rsid w:val="5A83127F"/>
    <w:rsid w:val="5ADDAB73"/>
    <w:rsid w:val="5B083E15"/>
    <w:rsid w:val="5B0A7E9F"/>
    <w:rsid w:val="5B16E5D4"/>
    <w:rsid w:val="5B546203"/>
    <w:rsid w:val="5B706425"/>
    <w:rsid w:val="5C2E94AC"/>
    <w:rsid w:val="5C5D1BEC"/>
    <w:rsid w:val="5C6A176F"/>
    <w:rsid w:val="5C8156F9"/>
    <w:rsid w:val="5C836FB5"/>
    <w:rsid w:val="5C8DF998"/>
    <w:rsid w:val="5C95B1A6"/>
    <w:rsid w:val="5CC6505E"/>
    <w:rsid w:val="5CD7CEB9"/>
    <w:rsid w:val="5D0B0C36"/>
    <w:rsid w:val="5D3B6AB8"/>
    <w:rsid w:val="5D5C951A"/>
    <w:rsid w:val="5D825BC0"/>
    <w:rsid w:val="5E212200"/>
    <w:rsid w:val="5E3BC81E"/>
    <w:rsid w:val="5E52CE2C"/>
    <w:rsid w:val="5E9B2093"/>
    <w:rsid w:val="5EA4ADF0"/>
    <w:rsid w:val="5EAA6D00"/>
    <w:rsid w:val="5F74E88D"/>
    <w:rsid w:val="5F776D54"/>
    <w:rsid w:val="5F9AF23E"/>
    <w:rsid w:val="5FC7AAC5"/>
    <w:rsid w:val="5FDE1B49"/>
    <w:rsid w:val="600FA52C"/>
    <w:rsid w:val="60879620"/>
    <w:rsid w:val="6089FD57"/>
    <w:rsid w:val="609562E4"/>
    <w:rsid w:val="609867C1"/>
    <w:rsid w:val="619DD677"/>
    <w:rsid w:val="61A5E682"/>
    <w:rsid w:val="61AFB0E4"/>
    <w:rsid w:val="61EC5A06"/>
    <w:rsid w:val="6216FB45"/>
    <w:rsid w:val="6268A193"/>
    <w:rsid w:val="6298174B"/>
    <w:rsid w:val="62F95746"/>
    <w:rsid w:val="633BE2F1"/>
    <w:rsid w:val="63762A3D"/>
    <w:rsid w:val="63ABB159"/>
    <w:rsid w:val="63CA7BD5"/>
    <w:rsid w:val="63CF6B49"/>
    <w:rsid w:val="63D082AE"/>
    <w:rsid w:val="64764F6F"/>
    <w:rsid w:val="64779A04"/>
    <w:rsid w:val="648D68C3"/>
    <w:rsid w:val="649F5ED1"/>
    <w:rsid w:val="64D4B074"/>
    <w:rsid w:val="64D7CC5F"/>
    <w:rsid w:val="64E1BAA0"/>
    <w:rsid w:val="64F44EC1"/>
    <w:rsid w:val="653DCB6D"/>
    <w:rsid w:val="65992973"/>
    <w:rsid w:val="65A0E2B5"/>
    <w:rsid w:val="65AC10A4"/>
    <w:rsid w:val="65B7BF66"/>
    <w:rsid w:val="65E71BD1"/>
    <w:rsid w:val="66509E86"/>
    <w:rsid w:val="66547BA6"/>
    <w:rsid w:val="66740F6C"/>
    <w:rsid w:val="66773329"/>
    <w:rsid w:val="669E6636"/>
    <w:rsid w:val="66CCD807"/>
    <w:rsid w:val="66D6FFBF"/>
    <w:rsid w:val="66E18F5A"/>
    <w:rsid w:val="670F7F59"/>
    <w:rsid w:val="6727338D"/>
    <w:rsid w:val="672A0725"/>
    <w:rsid w:val="67332C41"/>
    <w:rsid w:val="676B1CD6"/>
    <w:rsid w:val="67840340"/>
    <w:rsid w:val="678E69E4"/>
    <w:rsid w:val="6791AEA0"/>
    <w:rsid w:val="67A90E7E"/>
    <w:rsid w:val="67ED84A4"/>
    <w:rsid w:val="6920718B"/>
    <w:rsid w:val="692AE447"/>
    <w:rsid w:val="6A2513AA"/>
    <w:rsid w:val="6A5C6FFA"/>
    <w:rsid w:val="6A6272DB"/>
    <w:rsid w:val="6A7A8F84"/>
    <w:rsid w:val="6B33A473"/>
    <w:rsid w:val="6B39B905"/>
    <w:rsid w:val="6B5B4CA1"/>
    <w:rsid w:val="6B70D4C0"/>
    <w:rsid w:val="6BD7089D"/>
    <w:rsid w:val="6BF051F7"/>
    <w:rsid w:val="6C17C910"/>
    <w:rsid w:val="6C28621B"/>
    <w:rsid w:val="6C4590F8"/>
    <w:rsid w:val="6C8356B2"/>
    <w:rsid w:val="6CAAF7C9"/>
    <w:rsid w:val="6CAE4FCE"/>
    <w:rsid w:val="6CE1CF74"/>
    <w:rsid w:val="6D5FEB00"/>
    <w:rsid w:val="6D608E4E"/>
    <w:rsid w:val="6D63226B"/>
    <w:rsid w:val="6D6F8A9F"/>
    <w:rsid w:val="6D927B3B"/>
    <w:rsid w:val="6DC1CD9C"/>
    <w:rsid w:val="6E02C1CD"/>
    <w:rsid w:val="6E399F20"/>
    <w:rsid w:val="6E634F55"/>
    <w:rsid w:val="6E63D439"/>
    <w:rsid w:val="6E71B0D4"/>
    <w:rsid w:val="6E75CB30"/>
    <w:rsid w:val="6EC59D8B"/>
    <w:rsid w:val="6F64A6BD"/>
    <w:rsid w:val="6F6BDDD3"/>
    <w:rsid w:val="6F85CD30"/>
    <w:rsid w:val="6F890105"/>
    <w:rsid w:val="6FABAD11"/>
    <w:rsid w:val="6FDF11F4"/>
    <w:rsid w:val="701A478E"/>
    <w:rsid w:val="7047CC2B"/>
    <w:rsid w:val="704D0740"/>
    <w:rsid w:val="706CCDD3"/>
    <w:rsid w:val="7080D6A4"/>
    <w:rsid w:val="7095B8A4"/>
    <w:rsid w:val="70AB7BF1"/>
    <w:rsid w:val="711B7B3C"/>
    <w:rsid w:val="714B6D10"/>
    <w:rsid w:val="71C2C6F8"/>
    <w:rsid w:val="71CACA72"/>
    <w:rsid w:val="71D55A4F"/>
    <w:rsid w:val="71FFE149"/>
    <w:rsid w:val="720B3122"/>
    <w:rsid w:val="724AC073"/>
    <w:rsid w:val="7299A6AB"/>
    <w:rsid w:val="72BBBB50"/>
    <w:rsid w:val="72C855CC"/>
    <w:rsid w:val="72E00375"/>
    <w:rsid w:val="73014460"/>
    <w:rsid w:val="731A4395"/>
    <w:rsid w:val="73279000"/>
    <w:rsid w:val="7329ADF3"/>
    <w:rsid w:val="73370F84"/>
    <w:rsid w:val="73811040"/>
    <w:rsid w:val="739BE173"/>
    <w:rsid w:val="73F5022A"/>
    <w:rsid w:val="740D2D74"/>
    <w:rsid w:val="742F87E6"/>
    <w:rsid w:val="7430BD19"/>
    <w:rsid w:val="749B6B55"/>
    <w:rsid w:val="74A2A2F7"/>
    <w:rsid w:val="74A43227"/>
    <w:rsid w:val="74E6ADA9"/>
    <w:rsid w:val="75616FCE"/>
    <w:rsid w:val="757CCD12"/>
    <w:rsid w:val="75959F5E"/>
    <w:rsid w:val="75F70AE6"/>
    <w:rsid w:val="7696811F"/>
    <w:rsid w:val="76FB07C6"/>
    <w:rsid w:val="7718F9BB"/>
    <w:rsid w:val="77366084"/>
    <w:rsid w:val="77809E8F"/>
    <w:rsid w:val="778198DF"/>
    <w:rsid w:val="77AEAE7F"/>
    <w:rsid w:val="77CF6AF0"/>
    <w:rsid w:val="77D44081"/>
    <w:rsid w:val="783A1FC1"/>
    <w:rsid w:val="7851D318"/>
    <w:rsid w:val="787C7C6D"/>
    <w:rsid w:val="7895F223"/>
    <w:rsid w:val="78A24CBA"/>
    <w:rsid w:val="78B9DE67"/>
    <w:rsid w:val="78C98D00"/>
    <w:rsid w:val="78FB71CA"/>
    <w:rsid w:val="791E935F"/>
    <w:rsid w:val="794198E8"/>
    <w:rsid w:val="797519E6"/>
    <w:rsid w:val="7986A450"/>
    <w:rsid w:val="7988182B"/>
    <w:rsid w:val="79D86508"/>
    <w:rsid w:val="79DB1137"/>
    <w:rsid w:val="7A25A2D0"/>
    <w:rsid w:val="7A386386"/>
    <w:rsid w:val="7A73C8D3"/>
    <w:rsid w:val="7A7D7248"/>
    <w:rsid w:val="7AC432F2"/>
    <w:rsid w:val="7AE0BE48"/>
    <w:rsid w:val="7AF5254D"/>
    <w:rsid w:val="7B611AF9"/>
    <w:rsid w:val="7B7BD6FF"/>
    <w:rsid w:val="7B7C149B"/>
    <w:rsid w:val="7B810EC3"/>
    <w:rsid w:val="7BA51281"/>
    <w:rsid w:val="7BABF22E"/>
    <w:rsid w:val="7C0DF302"/>
    <w:rsid w:val="7C122801"/>
    <w:rsid w:val="7C1321C6"/>
    <w:rsid w:val="7C25A0BB"/>
    <w:rsid w:val="7C28790F"/>
    <w:rsid w:val="7C2BCE59"/>
    <w:rsid w:val="7C44AF6E"/>
    <w:rsid w:val="7C60A939"/>
    <w:rsid w:val="7CB62E7D"/>
    <w:rsid w:val="7CB6C405"/>
    <w:rsid w:val="7CC52E7D"/>
    <w:rsid w:val="7D02638C"/>
    <w:rsid w:val="7D1A792E"/>
    <w:rsid w:val="7D290E57"/>
    <w:rsid w:val="7D38C644"/>
    <w:rsid w:val="7DACB991"/>
    <w:rsid w:val="7DC8EC0E"/>
    <w:rsid w:val="7DDA1852"/>
    <w:rsid w:val="7E08E412"/>
    <w:rsid w:val="7E445DB6"/>
    <w:rsid w:val="7E65535D"/>
    <w:rsid w:val="7E813C00"/>
    <w:rsid w:val="7E991E7D"/>
    <w:rsid w:val="7ECFED3D"/>
    <w:rsid w:val="7F0638C5"/>
    <w:rsid w:val="7F34C228"/>
    <w:rsid w:val="7F684FF9"/>
    <w:rsid w:val="7F826629"/>
    <w:rsid w:val="7F9A5562"/>
    <w:rsid w:val="7FBEDBD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0F1FC"/>
  <w15:chartTrackingRefBased/>
  <w15:docId w15:val="{169C9FF3-B61B-470B-AD11-8947E2D1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F0"/>
    <w:rPr>
      <w:kern w:val="0"/>
      <w14:ligatures w14:val="none"/>
    </w:rPr>
  </w:style>
  <w:style w:type="paragraph" w:styleId="Heading1">
    <w:name w:val="heading 1"/>
    <w:basedOn w:val="Normal"/>
    <w:next w:val="Body"/>
    <w:link w:val="Heading1Char"/>
    <w:uiPriority w:val="9"/>
    <w:qFormat/>
    <w:rsid w:val="00F26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F26EF9"/>
    <w:pPr>
      <w:spacing w:before="40"/>
      <w:outlineLvl w:val="1"/>
    </w:pPr>
    <w:rPr>
      <w:sz w:val="26"/>
      <w:szCs w:val="26"/>
    </w:rPr>
  </w:style>
  <w:style w:type="paragraph" w:styleId="Heading3">
    <w:name w:val="heading 3"/>
    <w:basedOn w:val="Normal"/>
    <w:next w:val="Normal"/>
    <w:link w:val="Heading3Char"/>
    <w:uiPriority w:val="9"/>
    <w:unhideWhenUsed/>
    <w:qFormat/>
    <w:rsid w:val="00F26E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26EF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6EF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6EF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6EF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6EF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6EF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EF9"/>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F26EF9"/>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F26EF9"/>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F26EF9"/>
    <w:rPr>
      <w:rFonts w:asciiTheme="majorHAnsi" w:eastAsiaTheme="majorEastAsia" w:hAnsiTheme="majorHAnsi"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F26EF9"/>
    <w:rPr>
      <w:rFonts w:asciiTheme="majorHAnsi" w:eastAsiaTheme="majorEastAsia" w:hAnsiTheme="majorHAnsi"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F26EF9"/>
    <w:rPr>
      <w:rFonts w:asciiTheme="majorHAnsi" w:eastAsiaTheme="majorEastAsia" w:hAnsiTheme="majorHAnsi" w:cstheme="majorBidi"/>
      <w:color w:val="1F3763" w:themeColor="accent1" w:themeShade="7F"/>
      <w:kern w:val="0"/>
      <w:lang w:val="en-US"/>
      <w14:ligatures w14:val="none"/>
    </w:rPr>
  </w:style>
  <w:style w:type="character" w:customStyle="1" w:styleId="Heading7Char">
    <w:name w:val="Heading 7 Char"/>
    <w:basedOn w:val="DefaultParagraphFont"/>
    <w:link w:val="Heading7"/>
    <w:uiPriority w:val="9"/>
    <w:semiHidden/>
    <w:rsid w:val="00F26EF9"/>
    <w:rPr>
      <w:rFonts w:asciiTheme="majorHAnsi" w:eastAsiaTheme="majorEastAsia" w:hAnsiTheme="majorHAnsi" w:cstheme="majorBidi"/>
      <w:i/>
      <w:iCs/>
      <w:color w:val="1F3763" w:themeColor="accent1" w:themeShade="7F"/>
      <w:kern w:val="0"/>
      <w:lang w:val="en-US"/>
      <w14:ligatures w14:val="none"/>
    </w:rPr>
  </w:style>
  <w:style w:type="character" w:customStyle="1" w:styleId="Heading8Char">
    <w:name w:val="Heading 8 Char"/>
    <w:basedOn w:val="DefaultParagraphFont"/>
    <w:link w:val="Heading8"/>
    <w:uiPriority w:val="9"/>
    <w:semiHidden/>
    <w:rsid w:val="00F26EF9"/>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F26EF9"/>
    <w:rPr>
      <w:rFonts w:asciiTheme="majorHAnsi" w:eastAsiaTheme="majorEastAsia" w:hAnsiTheme="majorHAnsi" w:cstheme="majorBidi"/>
      <w:i/>
      <w:iCs/>
      <w:color w:val="272727" w:themeColor="text1" w:themeTint="D8"/>
      <w:kern w:val="0"/>
      <w:sz w:val="21"/>
      <w:szCs w:val="21"/>
      <w:lang w:val="en-US"/>
      <w14:ligatures w14:val="none"/>
    </w:rPr>
  </w:style>
  <w:style w:type="paragraph" w:styleId="Header">
    <w:name w:val="header"/>
    <w:basedOn w:val="Normal"/>
    <w:link w:val="HeaderChar"/>
    <w:uiPriority w:val="99"/>
    <w:unhideWhenUsed/>
    <w:rsid w:val="00F26EF9"/>
    <w:pPr>
      <w:tabs>
        <w:tab w:val="center" w:pos="4513"/>
        <w:tab w:val="right" w:pos="9026"/>
      </w:tabs>
    </w:pPr>
  </w:style>
  <w:style w:type="character" w:customStyle="1" w:styleId="HeaderChar">
    <w:name w:val="Header Char"/>
    <w:basedOn w:val="DefaultParagraphFont"/>
    <w:link w:val="Header"/>
    <w:uiPriority w:val="99"/>
    <w:rsid w:val="00F26EF9"/>
    <w:rPr>
      <w:kern w:val="0"/>
      <w:lang w:val="en-US"/>
      <w14:ligatures w14:val="none"/>
    </w:rPr>
  </w:style>
  <w:style w:type="paragraph" w:customStyle="1" w:styleId="BulletLevel1">
    <w:name w:val="Bullet Level 1"/>
    <w:basedOn w:val="ListParagraph"/>
    <w:link w:val="BulletLevel1Char"/>
    <w:rsid w:val="00F26EF9"/>
    <w:pPr>
      <w:numPr>
        <w:numId w:val="4"/>
      </w:numPr>
    </w:pPr>
    <w:rPr>
      <w:rFonts w:cs="Calibri Light"/>
      <w:noProof/>
      <w:szCs w:val="20"/>
    </w:rPr>
  </w:style>
  <w:style w:type="character" w:customStyle="1" w:styleId="BulletLevel1Char">
    <w:name w:val="Bullet Level 1 Char"/>
    <w:basedOn w:val="ListParagraphChar"/>
    <w:link w:val="BulletLevel1"/>
    <w:rsid w:val="00F26EF9"/>
    <w:rPr>
      <w:rFonts w:cs="Calibri Light"/>
      <w:noProof/>
      <w:kern w:val="0"/>
      <w:szCs w:val="20"/>
      <w:lang w:val="en-US"/>
      <w14:ligatures w14:val="none"/>
    </w:rPr>
  </w:style>
  <w:style w:type="paragraph" w:styleId="ListParagraph">
    <w:name w:val="List Paragraph"/>
    <w:aliases w:val="abc,Lettre d'introduction,Paragrafo elenco,List Paragraph1,1st level - Bullet List Paragraph,List Paragraph 1,Resume Title,Citation List,Medium Grid 1 - Accent 21,Numbered paragraph 1,Normal bullet 2,Bullet list,Numbered List,Task Body,L"/>
    <w:basedOn w:val="Normal"/>
    <w:link w:val="ListParagraphChar"/>
    <w:uiPriority w:val="34"/>
    <w:qFormat/>
    <w:rsid w:val="00F26EF9"/>
    <w:pPr>
      <w:ind w:left="720"/>
      <w:contextualSpacing/>
    </w:pPr>
  </w:style>
  <w:style w:type="paragraph" w:customStyle="1" w:styleId="BulletLevel2">
    <w:name w:val="Bullet Level 2"/>
    <w:basedOn w:val="BulletLevel1"/>
    <w:link w:val="BulletLevel2Char"/>
    <w:rsid w:val="00F26EF9"/>
    <w:pPr>
      <w:numPr>
        <w:numId w:val="3"/>
      </w:numPr>
    </w:pPr>
  </w:style>
  <w:style w:type="character" w:customStyle="1" w:styleId="BulletLevel2Char">
    <w:name w:val="Bullet Level 2 Char"/>
    <w:basedOn w:val="BulletLevel1Char"/>
    <w:link w:val="BulletLevel2"/>
    <w:rsid w:val="00F26EF9"/>
    <w:rPr>
      <w:rFonts w:cs="Calibri Light"/>
      <w:noProof/>
      <w:kern w:val="0"/>
      <w:szCs w:val="20"/>
      <w:lang w:val="en-US"/>
      <w14:ligatures w14:val="none"/>
    </w:rPr>
  </w:style>
  <w:style w:type="paragraph" w:styleId="Caption">
    <w:name w:val="caption"/>
    <w:basedOn w:val="Normal"/>
    <w:next w:val="Normal"/>
    <w:uiPriority w:val="35"/>
    <w:semiHidden/>
    <w:unhideWhenUsed/>
    <w:qFormat/>
    <w:rsid w:val="00F26EF9"/>
    <w:pPr>
      <w:spacing w:after="200" w:line="240" w:lineRule="auto"/>
    </w:pPr>
    <w:rPr>
      <w:i/>
      <w:iCs/>
      <w:color w:val="44546A" w:themeColor="text2"/>
      <w:sz w:val="18"/>
      <w:szCs w:val="18"/>
    </w:rPr>
  </w:style>
  <w:style w:type="paragraph" w:styleId="Title">
    <w:name w:val="Title"/>
    <w:basedOn w:val="TOCHeading"/>
    <w:next w:val="Normal"/>
    <w:link w:val="TitleChar"/>
    <w:uiPriority w:val="10"/>
    <w:qFormat/>
    <w:rsid w:val="00F26EF9"/>
    <w:pPr>
      <w:keepNext w:val="0"/>
      <w:keepLines w:val="0"/>
      <w:spacing w:before="0" w:line="240" w:lineRule="auto"/>
      <w:contextualSpacing/>
    </w:pPr>
    <w:rPr>
      <w:color w:val="auto"/>
      <w:spacing w:val="-10"/>
      <w:kern w:val="28"/>
      <w:sz w:val="56"/>
      <w:szCs w:val="56"/>
    </w:rPr>
  </w:style>
  <w:style w:type="character" w:customStyle="1" w:styleId="TitleChar">
    <w:name w:val="Title Char"/>
    <w:basedOn w:val="DefaultParagraphFont"/>
    <w:link w:val="Title"/>
    <w:uiPriority w:val="10"/>
    <w:rsid w:val="00F26EF9"/>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F26E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6EF9"/>
    <w:rPr>
      <w:rFonts w:eastAsiaTheme="minorEastAsia"/>
      <w:color w:val="5A5A5A" w:themeColor="text1" w:themeTint="A5"/>
      <w:spacing w:val="15"/>
      <w:kern w:val="0"/>
      <w:lang w:val="en-US"/>
      <w14:ligatures w14:val="none"/>
    </w:rPr>
  </w:style>
  <w:style w:type="character" w:styleId="Strong">
    <w:name w:val="Strong"/>
    <w:basedOn w:val="DefaultParagraphFont"/>
    <w:uiPriority w:val="22"/>
    <w:qFormat/>
    <w:rsid w:val="00F26EF9"/>
    <w:rPr>
      <w:b/>
      <w:bCs/>
    </w:rPr>
  </w:style>
  <w:style w:type="character" w:styleId="Emphasis">
    <w:name w:val="Emphasis"/>
    <w:basedOn w:val="DefaultParagraphFont"/>
    <w:uiPriority w:val="20"/>
    <w:qFormat/>
    <w:rsid w:val="00F26EF9"/>
    <w:rPr>
      <w:i/>
      <w:iCs/>
    </w:rPr>
  </w:style>
  <w:style w:type="character" w:customStyle="1" w:styleId="ListParagraphChar">
    <w:name w:val="List Paragraph Char"/>
    <w:aliases w:val="abc Char,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34"/>
    <w:qFormat/>
    <w:rsid w:val="00F26EF9"/>
    <w:rPr>
      <w:kern w:val="0"/>
      <w:lang w:val="en-US"/>
      <w14:ligatures w14:val="none"/>
    </w:rPr>
  </w:style>
  <w:style w:type="paragraph" w:styleId="Quote">
    <w:name w:val="Quote"/>
    <w:basedOn w:val="Normal"/>
    <w:next w:val="Normal"/>
    <w:link w:val="QuoteChar"/>
    <w:uiPriority w:val="29"/>
    <w:qFormat/>
    <w:rsid w:val="00F26E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6EF9"/>
    <w:rPr>
      <w:i/>
      <w:iCs/>
      <w:color w:val="404040" w:themeColor="text1" w:themeTint="BF"/>
      <w:kern w:val="0"/>
      <w:lang w:val="en-US"/>
      <w14:ligatures w14:val="none"/>
    </w:rPr>
  </w:style>
  <w:style w:type="paragraph" w:styleId="IntenseQuote">
    <w:name w:val="Intense Quote"/>
    <w:basedOn w:val="Normal"/>
    <w:next w:val="Normal"/>
    <w:link w:val="IntenseQuoteChar"/>
    <w:uiPriority w:val="30"/>
    <w:qFormat/>
    <w:rsid w:val="00F26E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6EF9"/>
    <w:rPr>
      <w:i/>
      <w:iCs/>
      <w:color w:val="4472C4" w:themeColor="accent1"/>
      <w:kern w:val="0"/>
      <w:lang w:val="en-US"/>
      <w14:ligatures w14:val="none"/>
    </w:rPr>
  </w:style>
  <w:style w:type="character" w:styleId="SubtleEmphasis">
    <w:name w:val="Subtle Emphasis"/>
    <w:basedOn w:val="DefaultParagraphFont"/>
    <w:uiPriority w:val="19"/>
    <w:qFormat/>
    <w:rsid w:val="00F26EF9"/>
    <w:rPr>
      <w:i/>
      <w:iCs/>
      <w:color w:val="404040" w:themeColor="text1" w:themeTint="BF"/>
    </w:rPr>
  </w:style>
  <w:style w:type="character" w:styleId="IntenseEmphasis">
    <w:name w:val="Intense Emphasis"/>
    <w:basedOn w:val="DefaultParagraphFont"/>
    <w:uiPriority w:val="21"/>
    <w:qFormat/>
    <w:rsid w:val="00F26EF9"/>
    <w:rPr>
      <w:i/>
      <w:iCs/>
      <w:color w:val="4472C4" w:themeColor="accent1"/>
    </w:rPr>
  </w:style>
  <w:style w:type="character" w:styleId="SubtleReference">
    <w:name w:val="Subtle Reference"/>
    <w:basedOn w:val="DefaultParagraphFont"/>
    <w:uiPriority w:val="31"/>
    <w:qFormat/>
    <w:rsid w:val="00F26EF9"/>
    <w:rPr>
      <w:smallCaps/>
      <w:color w:val="5A5A5A" w:themeColor="text1" w:themeTint="A5"/>
    </w:rPr>
  </w:style>
  <w:style w:type="character" w:styleId="IntenseReference">
    <w:name w:val="Intense Reference"/>
    <w:basedOn w:val="DefaultParagraphFont"/>
    <w:uiPriority w:val="32"/>
    <w:qFormat/>
    <w:rsid w:val="00F26EF9"/>
    <w:rPr>
      <w:b/>
      <w:bCs/>
      <w:smallCaps/>
      <w:color w:val="4472C4" w:themeColor="accent1"/>
      <w:spacing w:val="5"/>
    </w:rPr>
  </w:style>
  <w:style w:type="character" w:styleId="BookTitle">
    <w:name w:val="Book Title"/>
    <w:basedOn w:val="DefaultParagraphFont"/>
    <w:uiPriority w:val="33"/>
    <w:qFormat/>
    <w:rsid w:val="00F26EF9"/>
    <w:rPr>
      <w:b/>
      <w:bCs/>
      <w:i/>
      <w:iCs/>
      <w:spacing w:val="5"/>
    </w:rPr>
  </w:style>
  <w:style w:type="paragraph" w:styleId="TOCHeading">
    <w:name w:val="TOC Heading"/>
    <w:basedOn w:val="Heading1"/>
    <w:next w:val="Normal"/>
    <w:uiPriority w:val="39"/>
    <w:unhideWhenUsed/>
    <w:qFormat/>
    <w:rsid w:val="00F26EF9"/>
    <w:pPr>
      <w:outlineLvl w:val="9"/>
    </w:pPr>
  </w:style>
  <w:style w:type="paragraph" w:styleId="BalloonText">
    <w:name w:val="Balloon Text"/>
    <w:basedOn w:val="Normal"/>
    <w:link w:val="BalloonTextChar"/>
    <w:uiPriority w:val="99"/>
    <w:semiHidden/>
    <w:unhideWhenUsed/>
    <w:rsid w:val="00F26EF9"/>
    <w:rPr>
      <w:rFonts w:ascii="Tahoma" w:hAnsi="Tahoma" w:cs="Tahoma"/>
      <w:sz w:val="16"/>
      <w:szCs w:val="16"/>
    </w:rPr>
  </w:style>
  <w:style w:type="character" w:customStyle="1" w:styleId="BalloonTextChar">
    <w:name w:val="Balloon Text Char"/>
    <w:basedOn w:val="DefaultParagraphFont"/>
    <w:link w:val="BalloonText"/>
    <w:uiPriority w:val="99"/>
    <w:semiHidden/>
    <w:rsid w:val="00F26EF9"/>
    <w:rPr>
      <w:rFonts w:ascii="Tahoma" w:hAnsi="Tahoma" w:cs="Tahoma"/>
      <w:kern w:val="0"/>
      <w:sz w:val="16"/>
      <w:szCs w:val="16"/>
      <w:lang w:val="en-US"/>
      <w14:ligatures w14:val="none"/>
    </w:rPr>
  </w:style>
  <w:style w:type="paragraph" w:customStyle="1" w:styleId="LeadInText">
    <w:name w:val="Lead In Text"/>
    <w:basedOn w:val="Normal"/>
    <w:link w:val="LeadInTextChar"/>
    <w:rsid w:val="00F26EF9"/>
    <w:rPr>
      <w:color w:val="666666" w:themeColor="text1" w:themeTint="99"/>
      <w:sz w:val="24"/>
      <w:szCs w:val="24"/>
    </w:rPr>
  </w:style>
  <w:style w:type="character" w:customStyle="1" w:styleId="LeadInTextChar">
    <w:name w:val="Lead In Text Char"/>
    <w:basedOn w:val="DefaultParagraphFont"/>
    <w:link w:val="LeadInText"/>
    <w:rsid w:val="00F26EF9"/>
    <w:rPr>
      <w:color w:val="666666" w:themeColor="text1" w:themeTint="99"/>
      <w:kern w:val="0"/>
      <w:sz w:val="24"/>
      <w:szCs w:val="24"/>
      <w:lang w:val="en-US"/>
      <w14:ligatures w14:val="none"/>
    </w:rPr>
  </w:style>
  <w:style w:type="table" w:styleId="LightShading-Accent6">
    <w:name w:val="Light Shading Accent 6"/>
    <w:basedOn w:val="TableNormal"/>
    <w:uiPriority w:val="60"/>
    <w:rsid w:val="00F26EF9"/>
    <w:pPr>
      <w:spacing w:after="200" w:line="240" w:lineRule="auto"/>
    </w:pPr>
    <w:rPr>
      <w:rFonts w:eastAsiaTheme="minorEastAsia"/>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Footer">
    <w:name w:val="footer"/>
    <w:basedOn w:val="Normal"/>
    <w:link w:val="FooterChar"/>
    <w:uiPriority w:val="99"/>
    <w:unhideWhenUsed/>
    <w:rsid w:val="00F26EF9"/>
    <w:pPr>
      <w:tabs>
        <w:tab w:val="center" w:pos="4513"/>
        <w:tab w:val="right" w:pos="9026"/>
      </w:tabs>
    </w:pPr>
  </w:style>
  <w:style w:type="character" w:customStyle="1" w:styleId="FooterChar">
    <w:name w:val="Footer Char"/>
    <w:basedOn w:val="DefaultParagraphFont"/>
    <w:link w:val="Footer"/>
    <w:uiPriority w:val="99"/>
    <w:rsid w:val="00F26EF9"/>
    <w:rPr>
      <w:kern w:val="0"/>
      <w:lang w:val="en-US"/>
      <w14:ligatures w14:val="none"/>
    </w:rPr>
  </w:style>
  <w:style w:type="character" w:styleId="Hyperlink">
    <w:name w:val="Hyperlink"/>
    <w:basedOn w:val="DefaultParagraphFont"/>
    <w:uiPriority w:val="99"/>
    <w:unhideWhenUsed/>
    <w:rsid w:val="00F26EF9"/>
    <w:rPr>
      <w:color w:val="0563C1" w:themeColor="hyperlink"/>
      <w:u w:val="none"/>
    </w:rPr>
  </w:style>
  <w:style w:type="paragraph" w:customStyle="1" w:styleId="SubHeaderPrimary">
    <w:name w:val="SubHeader (Primary)"/>
    <w:basedOn w:val="Normal"/>
    <w:link w:val="SubHeaderPrimaryChar"/>
    <w:rsid w:val="00F26EF9"/>
    <w:pPr>
      <w:spacing w:before="480" w:after="60"/>
      <w:outlineLvl w:val="2"/>
    </w:pPr>
    <w:rPr>
      <w:rFonts w:eastAsiaTheme="majorEastAsia" w:cstheme="majorBidi"/>
      <w:color w:val="E7E6E6" w:themeColor="background2"/>
      <w:spacing w:val="15"/>
      <w:sz w:val="28"/>
      <w:szCs w:val="24"/>
    </w:rPr>
  </w:style>
  <w:style w:type="character" w:customStyle="1" w:styleId="SubHeaderPrimaryChar">
    <w:name w:val="SubHeader (Primary) Char"/>
    <w:basedOn w:val="SubtitleChar"/>
    <w:link w:val="SubHeaderPrimary"/>
    <w:rsid w:val="00F26EF9"/>
    <w:rPr>
      <w:rFonts w:eastAsiaTheme="majorEastAsia" w:cstheme="majorBidi"/>
      <w:color w:val="E7E6E6" w:themeColor="background2"/>
      <w:spacing w:val="15"/>
      <w:kern w:val="0"/>
      <w:sz w:val="28"/>
      <w:szCs w:val="24"/>
      <w:lang w:val="en-US"/>
      <w14:ligatures w14:val="none"/>
    </w:rPr>
  </w:style>
  <w:style w:type="paragraph" w:customStyle="1" w:styleId="Tagline">
    <w:name w:val="Tagline"/>
    <w:basedOn w:val="Normal"/>
    <w:link w:val="TaglineChar"/>
    <w:rsid w:val="00F26EF9"/>
    <w:rPr>
      <w:rFonts w:eastAsiaTheme="majorEastAsia" w:cstheme="majorBidi"/>
      <w:b/>
      <w:color w:val="E7E6E6" w:themeColor="background2"/>
      <w:spacing w:val="15"/>
      <w:sz w:val="32"/>
      <w:szCs w:val="24"/>
    </w:rPr>
  </w:style>
  <w:style w:type="character" w:customStyle="1" w:styleId="TaglineChar">
    <w:name w:val="Tagline Char"/>
    <w:basedOn w:val="SubHeaderPrimaryChar"/>
    <w:link w:val="Tagline"/>
    <w:rsid w:val="00F26EF9"/>
    <w:rPr>
      <w:rFonts w:eastAsiaTheme="majorEastAsia" w:cstheme="majorBidi"/>
      <w:b/>
      <w:color w:val="E7E6E6" w:themeColor="background2"/>
      <w:spacing w:val="15"/>
      <w:kern w:val="0"/>
      <w:sz w:val="32"/>
      <w:szCs w:val="24"/>
      <w:lang w:val="en-US"/>
      <w14:ligatures w14:val="none"/>
    </w:rPr>
  </w:style>
  <w:style w:type="paragraph" w:styleId="TOC2">
    <w:name w:val="toc 2"/>
    <w:basedOn w:val="Normal"/>
    <w:next w:val="Normal"/>
    <w:autoRedefine/>
    <w:uiPriority w:val="39"/>
    <w:unhideWhenUsed/>
    <w:rsid w:val="00F26EF9"/>
    <w:pPr>
      <w:tabs>
        <w:tab w:val="left" w:pos="403"/>
        <w:tab w:val="right" w:leader="dot" w:pos="8495"/>
      </w:tabs>
      <w:spacing w:after="0" w:line="276" w:lineRule="auto"/>
    </w:pPr>
    <w:rPr>
      <w:noProof/>
    </w:rPr>
  </w:style>
  <w:style w:type="paragraph" w:styleId="TOC3">
    <w:name w:val="toc 3"/>
    <w:basedOn w:val="Normal"/>
    <w:next w:val="Normal"/>
    <w:autoRedefine/>
    <w:uiPriority w:val="39"/>
    <w:unhideWhenUsed/>
    <w:rsid w:val="00F26EF9"/>
    <w:pPr>
      <w:tabs>
        <w:tab w:val="left" w:pos="993"/>
        <w:tab w:val="right" w:leader="dot" w:pos="8495"/>
      </w:tabs>
      <w:spacing w:line="200" w:lineRule="exact"/>
      <w:ind w:left="403"/>
    </w:pPr>
    <w:rPr>
      <w:noProof/>
      <w:sz w:val="18"/>
    </w:rPr>
  </w:style>
  <w:style w:type="paragraph" w:styleId="TOC1">
    <w:name w:val="toc 1"/>
    <w:basedOn w:val="Normal"/>
    <w:next w:val="Normal"/>
    <w:autoRedefine/>
    <w:uiPriority w:val="39"/>
    <w:unhideWhenUsed/>
    <w:rsid w:val="00D02E27"/>
    <w:pPr>
      <w:tabs>
        <w:tab w:val="right" w:leader="dot" w:pos="8495"/>
      </w:tabs>
      <w:spacing w:before="120"/>
      <w:ind w:left="284" w:hanging="284"/>
      <w:contextualSpacing/>
    </w:pPr>
    <w:rPr>
      <w:noProof/>
    </w:rPr>
  </w:style>
  <w:style w:type="character" w:styleId="FollowedHyperlink">
    <w:name w:val="FollowedHyperlink"/>
    <w:basedOn w:val="DefaultParagraphFont"/>
    <w:uiPriority w:val="99"/>
    <w:semiHidden/>
    <w:unhideWhenUsed/>
    <w:rsid w:val="00F26EF9"/>
    <w:rPr>
      <w:color w:val="954F72" w:themeColor="followedHyperlink"/>
      <w:u w:val="single"/>
    </w:rPr>
  </w:style>
  <w:style w:type="paragraph" w:customStyle="1" w:styleId="Notes">
    <w:name w:val="Notes"/>
    <w:basedOn w:val="Normal"/>
    <w:link w:val="NotesZchn"/>
    <w:rsid w:val="00F26EF9"/>
    <w:pPr>
      <w:spacing w:after="60"/>
      <w:ind w:left="1440"/>
    </w:pPr>
    <w:rPr>
      <w:i/>
      <w:lang w:val="fr-BE"/>
    </w:rPr>
  </w:style>
  <w:style w:type="character" w:customStyle="1" w:styleId="NotesZchn">
    <w:name w:val="Notes Zchn"/>
    <w:basedOn w:val="DefaultParagraphFont"/>
    <w:link w:val="Notes"/>
    <w:rsid w:val="00F26EF9"/>
    <w:rPr>
      <w:i/>
      <w:kern w:val="0"/>
      <w:lang w:val="fr-BE"/>
      <w14:ligatures w14:val="none"/>
    </w:rPr>
  </w:style>
  <w:style w:type="paragraph" w:styleId="FootnoteText">
    <w:name w:val="footnote text"/>
    <w:basedOn w:val="Normal"/>
    <w:link w:val="FootnoteTextChar"/>
    <w:uiPriority w:val="99"/>
    <w:unhideWhenUsed/>
    <w:rsid w:val="00F26EF9"/>
    <w:pPr>
      <w:widowControl w:val="0"/>
    </w:pPr>
    <w:rPr>
      <w:szCs w:val="20"/>
    </w:rPr>
  </w:style>
  <w:style w:type="character" w:customStyle="1" w:styleId="FootnoteTextChar">
    <w:name w:val="Footnote Text Char"/>
    <w:basedOn w:val="DefaultParagraphFont"/>
    <w:link w:val="FootnoteText"/>
    <w:uiPriority w:val="99"/>
    <w:rsid w:val="00F26EF9"/>
    <w:rPr>
      <w:kern w:val="0"/>
      <w:szCs w:val="20"/>
      <w:lang w:val="en-US"/>
      <w14:ligatures w14:val="none"/>
    </w:rPr>
  </w:style>
  <w:style w:type="character" w:styleId="FootnoteReference">
    <w:name w:val="footnote reference"/>
    <w:basedOn w:val="DefaultParagraphFont"/>
    <w:uiPriority w:val="99"/>
    <w:unhideWhenUsed/>
    <w:rsid w:val="00F26EF9"/>
    <w:rPr>
      <w:vertAlign w:val="superscript"/>
    </w:rPr>
  </w:style>
  <w:style w:type="paragraph" w:styleId="Revision">
    <w:name w:val="Revision"/>
    <w:hidden/>
    <w:uiPriority w:val="99"/>
    <w:semiHidden/>
    <w:rsid w:val="00F26EF9"/>
    <w:pPr>
      <w:spacing w:after="0" w:line="240" w:lineRule="auto"/>
    </w:pPr>
    <w:rPr>
      <w:rFonts w:ascii="Calibri Light" w:eastAsiaTheme="minorEastAsia" w:hAnsi="Calibri Light"/>
      <w:color w:val="000000" w:themeColor="text1"/>
      <w:kern w:val="0"/>
      <w:sz w:val="20"/>
      <w14:ligatures w14:val="none"/>
    </w:rPr>
  </w:style>
  <w:style w:type="paragraph" w:styleId="NormalWeb">
    <w:name w:val="Normal (Web)"/>
    <w:basedOn w:val="Normal"/>
    <w:uiPriority w:val="99"/>
    <w:semiHidden/>
    <w:unhideWhenUsed/>
    <w:rsid w:val="00F26E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6EF9"/>
    <w:rPr>
      <w:sz w:val="18"/>
      <w:szCs w:val="18"/>
    </w:rPr>
  </w:style>
  <w:style w:type="paragraph" w:styleId="CommentText">
    <w:name w:val="annotation text"/>
    <w:basedOn w:val="Normal"/>
    <w:link w:val="CommentTextChar"/>
    <w:uiPriority w:val="99"/>
    <w:unhideWhenUsed/>
    <w:rsid w:val="00F26EF9"/>
    <w:rPr>
      <w:sz w:val="24"/>
      <w:szCs w:val="24"/>
    </w:rPr>
  </w:style>
  <w:style w:type="character" w:customStyle="1" w:styleId="CommentTextChar">
    <w:name w:val="Comment Text Char"/>
    <w:basedOn w:val="DefaultParagraphFont"/>
    <w:link w:val="CommentText"/>
    <w:uiPriority w:val="99"/>
    <w:rsid w:val="00F26EF9"/>
    <w:rPr>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F26EF9"/>
    <w:rPr>
      <w:b/>
      <w:bCs/>
      <w:sz w:val="20"/>
      <w:szCs w:val="20"/>
    </w:rPr>
  </w:style>
  <w:style w:type="character" w:customStyle="1" w:styleId="CommentSubjectChar">
    <w:name w:val="Comment Subject Char"/>
    <w:basedOn w:val="CommentTextChar"/>
    <w:link w:val="CommentSubject"/>
    <w:uiPriority w:val="99"/>
    <w:semiHidden/>
    <w:rsid w:val="00F26EF9"/>
    <w:rPr>
      <w:b/>
      <w:bCs/>
      <w:kern w:val="0"/>
      <w:sz w:val="20"/>
      <w:szCs w:val="20"/>
      <w:lang w:val="en-US"/>
      <w14:ligatures w14:val="none"/>
    </w:rPr>
  </w:style>
  <w:style w:type="paragraph" w:customStyle="1" w:styleId="BulletLevel3">
    <w:name w:val="Bullet Level 3"/>
    <w:basedOn w:val="BulletLevel2"/>
    <w:link w:val="BulletLevel3Char"/>
    <w:rsid w:val="00F26EF9"/>
    <w:pPr>
      <w:ind w:left="225"/>
    </w:pPr>
  </w:style>
  <w:style w:type="character" w:customStyle="1" w:styleId="BulletLevel3Char">
    <w:name w:val="Bullet Level 3 Char"/>
    <w:basedOn w:val="BulletLevel2Char"/>
    <w:link w:val="BulletLevel3"/>
    <w:rsid w:val="00F26EF9"/>
    <w:rPr>
      <w:rFonts w:cs="Calibri Light"/>
      <w:noProof/>
      <w:kern w:val="0"/>
      <w:szCs w:val="20"/>
      <w:lang w:val="en-US"/>
      <w14:ligatures w14:val="none"/>
    </w:rPr>
  </w:style>
  <w:style w:type="paragraph" w:customStyle="1" w:styleId="Footnote">
    <w:name w:val="Footnote"/>
    <w:basedOn w:val="FootnoteText"/>
    <w:link w:val="FootnoteChar"/>
    <w:rsid w:val="00F26EF9"/>
    <w:rPr>
      <w:rFonts w:ascii="Calibri Light" w:hAnsi="Calibri Light"/>
      <w:sz w:val="16"/>
    </w:rPr>
  </w:style>
  <w:style w:type="character" w:customStyle="1" w:styleId="FootnoteChar">
    <w:name w:val="Footnote Char"/>
    <w:basedOn w:val="FootnoteTextChar"/>
    <w:link w:val="Footnote"/>
    <w:rsid w:val="00F26EF9"/>
    <w:rPr>
      <w:rFonts w:ascii="Calibri Light" w:hAnsi="Calibri Light"/>
      <w:kern w:val="0"/>
      <w:sz w:val="16"/>
      <w:szCs w:val="20"/>
      <w:lang w:val="en-US"/>
      <w14:ligatures w14:val="none"/>
    </w:rPr>
  </w:style>
  <w:style w:type="paragraph" w:customStyle="1" w:styleId="Body">
    <w:name w:val="Body"/>
    <w:basedOn w:val="Normal"/>
    <w:link w:val="BodyChar"/>
    <w:qFormat/>
    <w:rsid w:val="00F26EF9"/>
    <w:pPr>
      <w:spacing w:before="120"/>
    </w:pPr>
    <w:rPr>
      <w:noProof/>
      <w:szCs w:val="20"/>
    </w:rPr>
  </w:style>
  <w:style w:type="character" w:customStyle="1" w:styleId="BodyChar">
    <w:name w:val="Body Char"/>
    <w:basedOn w:val="DefaultParagraphFont"/>
    <w:link w:val="Body"/>
    <w:rsid w:val="00F26EF9"/>
    <w:rPr>
      <w:noProof/>
      <w:kern w:val="0"/>
      <w:szCs w:val="20"/>
      <w:lang w:val="en-US"/>
      <w14:ligatures w14:val="none"/>
    </w:rPr>
  </w:style>
  <w:style w:type="paragraph" w:customStyle="1" w:styleId="ActivityDescription">
    <w:name w:val="Activity Description"/>
    <w:basedOn w:val="Normal"/>
    <w:link w:val="ActivityDescriptionChar"/>
    <w:rsid w:val="00F26EF9"/>
    <w:pPr>
      <w:pBdr>
        <w:top w:val="single" w:sz="4" w:space="1" w:color="1F3864" w:themeColor="accent1" w:themeShade="80"/>
        <w:bottom w:val="single" w:sz="4" w:space="1" w:color="1F3864" w:themeColor="accent1" w:themeShade="80"/>
        <w:between w:val="single" w:sz="4" w:space="1" w:color="1F3864" w:themeColor="accent1" w:themeShade="80"/>
      </w:pBdr>
      <w:spacing w:after="60" w:line="160" w:lineRule="exact"/>
    </w:pPr>
    <w:rPr>
      <w:noProof/>
      <w:sz w:val="16"/>
      <w:szCs w:val="16"/>
    </w:rPr>
  </w:style>
  <w:style w:type="character" w:customStyle="1" w:styleId="ActivityDescriptionChar">
    <w:name w:val="Activity Description Char"/>
    <w:basedOn w:val="DefaultParagraphFont"/>
    <w:link w:val="ActivityDescription"/>
    <w:rsid w:val="00F26EF9"/>
    <w:rPr>
      <w:noProof/>
      <w:kern w:val="0"/>
      <w:sz w:val="16"/>
      <w:szCs w:val="16"/>
      <w:lang w:val="en-US"/>
      <w14:ligatures w14:val="none"/>
    </w:rPr>
  </w:style>
  <w:style w:type="paragraph" w:customStyle="1" w:styleId="PgNumber">
    <w:name w:val="PgNumber"/>
    <w:basedOn w:val="Normal"/>
    <w:link w:val="PgNumberChar"/>
    <w:rsid w:val="00F26EF9"/>
    <w:pPr>
      <w:jc w:val="center"/>
    </w:pPr>
    <w:rPr>
      <w:noProof/>
      <w:color w:val="FFFFFF" w:themeColor="background1"/>
      <w:sz w:val="18"/>
    </w:rPr>
  </w:style>
  <w:style w:type="character" w:customStyle="1" w:styleId="PgNumberChar">
    <w:name w:val="PgNumber Char"/>
    <w:basedOn w:val="DefaultParagraphFont"/>
    <w:link w:val="PgNumber"/>
    <w:rsid w:val="00F26EF9"/>
    <w:rPr>
      <w:noProof/>
      <w:color w:val="FFFFFF" w:themeColor="background1"/>
      <w:kern w:val="0"/>
      <w:sz w:val="18"/>
      <w:lang w:val="en-US"/>
      <w14:ligatures w14:val="none"/>
    </w:rPr>
  </w:style>
  <w:style w:type="table" w:styleId="TableGrid">
    <w:name w:val="Table Grid"/>
    <w:basedOn w:val="TableNormal"/>
    <w:uiPriority w:val="39"/>
    <w:rsid w:val="00F26EF9"/>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26EF9"/>
  </w:style>
  <w:style w:type="paragraph" w:customStyle="1" w:styleId="Emphasis-bold">
    <w:name w:val="Emphasis-bold"/>
    <w:basedOn w:val="Body"/>
    <w:link w:val="Emphasis-boldChar"/>
    <w:rsid w:val="00F26EF9"/>
    <w:rPr>
      <w:b/>
    </w:rPr>
  </w:style>
  <w:style w:type="character" w:customStyle="1" w:styleId="Emphasis-boldChar">
    <w:name w:val="Emphasis-bold Char"/>
    <w:basedOn w:val="BodyChar"/>
    <w:link w:val="Emphasis-bold"/>
    <w:rsid w:val="00F26EF9"/>
    <w:rPr>
      <w:b/>
      <w:noProof/>
      <w:kern w:val="0"/>
      <w:szCs w:val="20"/>
      <w:lang w:val="en-US"/>
      <w14:ligatures w14:val="none"/>
    </w:rPr>
  </w:style>
  <w:style w:type="table" w:customStyle="1" w:styleId="TableGridLight1">
    <w:name w:val="Table Grid Light1"/>
    <w:basedOn w:val="TableNormal"/>
    <w:uiPriority w:val="40"/>
    <w:rsid w:val="00F26EF9"/>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26EF9"/>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F26EF9"/>
    <w:pPr>
      <w:spacing w:after="0" w:line="240" w:lineRule="auto"/>
    </w:pPr>
    <w:rPr>
      <w:rFonts w:eastAsia="Calibri"/>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6EF9"/>
    <w:pPr>
      <w:spacing w:after="0" w:line="240" w:lineRule="auto"/>
    </w:pPr>
    <w:rPr>
      <w:rFonts w:eastAsia="Calibri"/>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basedOn w:val="NoList"/>
    <w:rsid w:val="00F26EF9"/>
    <w:pPr>
      <w:numPr>
        <w:numId w:val="6"/>
      </w:numPr>
    </w:pPr>
  </w:style>
  <w:style w:type="character" w:customStyle="1" w:styleId="UnresolvedMention1">
    <w:name w:val="Unresolved Mention1"/>
    <w:basedOn w:val="DefaultParagraphFont"/>
    <w:uiPriority w:val="99"/>
    <w:semiHidden/>
    <w:unhideWhenUsed/>
    <w:rsid w:val="00F26EF9"/>
    <w:rPr>
      <w:color w:val="808080"/>
      <w:shd w:val="clear" w:color="auto" w:fill="E6E6E6"/>
    </w:rPr>
  </w:style>
  <w:style w:type="character" w:customStyle="1" w:styleId="invite-phone-number">
    <w:name w:val="invite-phone-number"/>
    <w:basedOn w:val="DefaultParagraphFont"/>
    <w:rsid w:val="00F26EF9"/>
  </w:style>
  <w:style w:type="paragraph" w:customStyle="1" w:styleId="paragraph">
    <w:name w:val="paragraph"/>
    <w:basedOn w:val="Normal"/>
    <w:rsid w:val="00F26EF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6EF9"/>
  </w:style>
  <w:style w:type="character" w:customStyle="1" w:styleId="eop">
    <w:name w:val="eop"/>
    <w:basedOn w:val="DefaultParagraphFont"/>
    <w:rsid w:val="00F26EF9"/>
  </w:style>
  <w:style w:type="character" w:styleId="UnresolvedMention">
    <w:name w:val="Unresolved Mention"/>
    <w:basedOn w:val="DefaultParagraphFont"/>
    <w:uiPriority w:val="99"/>
    <w:unhideWhenUsed/>
    <w:rsid w:val="00F26EF9"/>
    <w:rPr>
      <w:color w:val="605E5C"/>
      <w:shd w:val="clear" w:color="auto" w:fill="E1DFDD"/>
    </w:rPr>
  </w:style>
  <w:style w:type="paragraph" w:customStyle="1" w:styleId="Sub-Heading1">
    <w:name w:val="Sub-Heading 1"/>
    <w:basedOn w:val="Normal"/>
    <w:link w:val="Sub-Heading1Char"/>
    <w:rsid w:val="00F26EF9"/>
    <w:pPr>
      <w:spacing w:before="120" w:line="276" w:lineRule="auto"/>
    </w:pPr>
    <w:rPr>
      <w:rFonts w:ascii="Calibri" w:hAnsi="Calibri"/>
      <w:b/>
      <w:szCs w:val="18"/>
    </w:rPr>
  </w:style>
  <w:style w:type="character" w:customStyle="1" w:styleId="Sub-Heading1Char">
    <w:name w:val="Sub-Heading 1 Char"/>
    <w:basedOn w:val="DefaultParagraphFont"/>
    <w:link w:val="Sub-Heading1"/>
    <w:rsid w:val="00F26EF9"/>
    <w:rPr>
      <w:rFonts w:ascii="Calibri" w:hAnsi="Calibri"/>
      <w:b/>
      <w:kern w:val="0"/>
      <w:szCs w:val="18"/>
      <w:lang w:val="en-US"/>
      <w14:ligatures w14:val="none"/>
    </w:rPr>
  </w:style>
  <w:style w:type="paragraph" w:customStyle="1" w:styleId="BULLET">
    <w:name w:val="BULLET"/>
    <w:basedOn w:val="Body"/>
    <w:link w:val="BULLETChar"/>
    <w:rsid w:val="00F26EF9"/>
    <w:pPr>
      <w:numPr>
        <w:numId w:val="5"/>
      </w:numPr>
      <w:spacing w:line="276" w:lineRule="auto"/>
      <w:contextualSpacing/>
    </w:pPr>
    <w:rPr>
      <w:rFonts w:ascii="Calibri" w:hAnsi="Calibri"/>
      <w:szCs w:val="18"/>
    </w:rPr>
  </w:style>
  <w:style w:type="character" w:customStyle="1" w:styleId="BULLETChar">
    <w:name w:val="BULLET Char"/>
    <w:basedOn w:val="BodyChar"/>
    <w:link w:val="BULLET"/>
    <w:rsid w:val="00F26EF9"/>
    <w:rPr>
      <w:rFonts w:ascii="Calibri" w:hAnsi="Calibri"/>
      <w:noProof/>
      <w:kern w:val="0"/>
      <w:szCs w:val="18"/>
      <w:lang w:val="en-US"/>
      <w14:ligatures w14:val="none"/>
    </w:rPr>
  </w:style>
  <w:style w:type="paragraph" w:styleId="BodyText">
    <w:name w:val="Body Text"/>
    <w:basedOn w:val="Normal"/>
    <w:link w:val="BodyTextChar"/>
    <w:uiPriority w:val="1"/>
    <w:rsid w:val="00F26EF9"/>
    <w:pPr>
      <w:widowControl w:val="0"/>
      <w:autoSpaceDE w:val="0"/>
      <w:autoSpaceDN w:val="0"/>
      <w:spacing w:line="276" w:lineRule="auto"/>
    </w:pPr>
    <w:rPr>
      <w:rFonts w:eastAsia="Calibri Light" w:cs="Calibri Light"/>
      <w:szCs w:val="20"/>
      <w:lang w:eastAsia="en-GB" w:bidi="en-GB"/>
    </w:rPr>
  </w:style>
  <w:style w:type="character" w:customStyle="1" w:styleId="BodyTextChar">
    <w:name w:val="Body Text Char"/>
    <w:basedOn w:val="DefaultParagraphFont"/>
    <w:link w:val="BodyText"/>
    <w:uiPriority w:val="1"/>
    <w:rsid w:val="00F26EF9"/>
    <w:rPr>
      <w:rFonts w:eastAsia="Calibri Light" w:cs="Calibri Light"/>
      <w:kern w:val="0"/>
      <w:szCs w:val="20"/>
      <w:lang w:val="en-US" w:eastAsia="en-GB" w:bidi="en-GB"/>
      <w14:ligatures w14:val="none"/>
    </w:rPr>
  </w:style>
  <w:style w:type="character" w:styleId="Mention">
    <w:name w:val="Mention"/>
    <w:basedOn w:val="DefaultParagraphFont"/>
    <w:uiPriority w:val="99"/>
    <w:unhideWhenUsed/>
    <w:rsid w:val="00F26EF9"/>
    <w:rPr>
      <w:color w:val="2B579A"/>
      <w:shd w:val="clear" w:color="auto" w:fill="E1DFDD"/>
    </w:rPr>
  </w:style>
  <w:style w:type="paragraph" w:customStyle="1" w:styleId="Heading0">
    <w:name w:val="Heading 0"/>
    <w:basedOn w:val="Heading1"/>
    <w:next w:val="Normal"/>
    <w:link w:val="Heading0Char"/>
    <w:rsid w:val="00F26EF9"/>
    <w:pPr>
      <w:pageBreakBefore/>
      <w:ind w:left="-851"/>
    </w:pPr>
  </w:style>
  <w:style w:type="character" w:customStyle="1" w:styleId="Heading0Char">
    <w:name w:val="Heading 0 Char"/>
    <w:basedOn w:val="Heading1Char"/>
    <w:link w:val="Heading0"/>
    <w:rsid w:val="00F26EF9"/>
    <w:rPr>
      <w:rFonts w:asciiTheme="majorHAnsi" w:eastAsiaTheme="majorEastAsia" w:hAnsiTheme="majorHAnsi" w:cstheme="majorBidi"/>
      <w:color w:val="2F5496" w:themeColor="accent1" w:themeShade="BF"/>
      <w:kern w:val="0"/>
      <w:sz w:val="32"/>
      <w:szCs w:val="32"/>
      <w:lang w:val="en-US"/>
      <w14:ligatures w14:val="none"/>
    </w:rPr>
  </w:style>
  <w:style w:type="table" w:customStyle="1" w:styleId="TableGrid3">
    <w:name w:val="Table Grid3"/>
    <w:basedOn w:val="TableNormal"/>
    <w:next w:val="TableGrid"/>
    <w:uiPriority w:val="39"/>
    <w:rsid w:val="00F26E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F26EF9"/>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rsid w:val="00F26EF9"/>
    <w:pPr>
      <w:widowControl w:val="0"/>
      <w:autoSpaceDE w:val="0"/>
      <w:autoSpaceDN w:val="0"/>
      <w:spacing w:after="0"/>
      <w:ind w:left="107"/>
    </w:pPr>
    <w:rPr>
      <w:rFonts w:eastAsia="Calibri Light" w:cs="Calibri Light"/>
      <w:lang w:eastAsia="en-GB" w:bidi="en-GB"/>
    </w:rPr>
  </w:style>
  <w:style w:type="table" w:styleId="ListTable7ColourfulAccent6">
    <w:name w:val="List Table 7 Colorful Accent 6"/>
    <w:basedOn w:val="TableNormal"/>
    <w:uiPriority w:val="52"/>
    <w:rsid w:val="00F26EF9"/>
    <w:pPr>
      <w:spacing w:after="0" w:line="240" w:lineRule="auto"/>
    </w:pPr>
    <w:rPr>
      <w:rFonts w:eastAsiaTheme="minorEastAsia"/>
      <w:color w:val="538135" w:themeColor="accent6" w:themeShade="BF"/>
      <w:kern w:val="0"/>
      <w:sz w:val="21"/>
      <w:szCs w:val="21"/>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F26EF9"/>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table" w:styleId="PlainTable2">
    <w:name w:val="Plain Table 2"/>
    <w:basedOn w:val="TableNormal"/>
    <w:uiPriority w:val="42"/>
    <w:rsid w:val="00F26EF9"/>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Normal"/>
    <w:link w:val="Style1Char"/>
    <w:rsid w:val="00F26EF9"/>
    <w:rPr>
      <w:rFonts w:cstheme="minorHAnsi"/>
      <w:b/>
      <w:bCs/>
      <w:color w:val="4472C4" w:themeColor="accent1"/>
      <w:sz w:val="40"/>
      <w:szCs w:val="44"/>
    </w:rPr>
  </w:style>
  <w:style w:type="character" w:customStyle="1" w:styleId="Style1Char">
    <w:name w:val="Style1 Char"/>
    <w:basedOn w:val="DefaultParagraphFont"/>
    <w:link w:val="Style1"/>
    <w:rsid w:val="00F26EF9"/>
    <w:rPr>
      <w:rFonts w:cstheme="minorHAnsi"/>
      <w:b/>
      <w:bCs/>
      <w:color w:val="4472C4" w:themeColor="accent1"/>
      <w:kern w:val="0"/>
      <w:sz w:val="40"/>
      <w:szCs w:val="44"/>
      <w:lang w:val="en-US"/>
      <w14:ligatures w14:val="none"/>
    </w:rPr>
  </w:style>
  <w:style w:type="paragraph" w:styleId="NoSpacing">
    <w:name w:val="No Spacing"/>
    <w:uiPriority w:val="1"/>
    <w:qFormat/>
    <w:rsid w:val="00F26EF9"/>
    <w:pPr>
      <w:spacing w:after="0" w:line="240" w:lineRule="auto"/>
    </w:pPr>
    <w:rPr>
      <w:kern w:val="0"/>
      <w:lang w:val="en-US"/>
      <w14:ligatures w14:val="none"/>
    </w:rPr>
  </w:style>
  <w:style w:type="table" w:styleId="TableGridLight">
    <w:name w:val="Grid Table Light"/>
    <w:basedOn w:val="TableNormal"/>
    <w:uiPriority w:val="40"/>
    <w:rsid w:val="00F26EF9"/>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F26EF9"/>
    <w:pPr>
      <w:spacing w:after="0" w:line="240" w:lineRule="auto"/>
    </w:pPr>
    <w:rPr>
      <w:kern w:val="0"/>
      <w:lang w:val="en-US"/>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F26EF9"/>
    <w:pPr>
      <w:spacing w:after="0" w:line="240" w:lineRule="auto"/>
    </w:pPr>
    <w:rPr>
      <w:kern w:val="0"/>
      <w:lang w:val="en-US"/>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F26EF9"/>
    <w:pPr>
      <w:spacing w:after="0" w:line="240" w:lineRule="auto"/>
    </w:pPr>
    <w:rPr>
      <w:kern w:val="0"/>
      <w:lang w:val="en-US"/>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2">
    <w:name w:val="List Table 1 Light Accent 2"/>
    <w:basedOn w:val="TableNormal"/>
    <w:uiPriority w:val="46"/>
    <w:rsid w:val="00F26EF9"/>
    <w:pPr>
      <w:spacing w:after="0" w:line="240" w:lineRule="auto"/>
    </w:pPr>
    <w:rPr>
      <w:kern w:val="0"/>
      <w:lang w:val="en-US"/>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4">
    <w:name w:val="Table Grid4"/>
    <w:basedOn w:val="TableNormal"/>
    <w:next w:val="TableGrid"/>
    <w:uiPriority w:val="39"/>
    <w:rsid w:val="00F26E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7430E"/>
  </w:style>
  <w:style w:type="character" w:customStyle="1" w:styleId="wacimagecontainer">
    <w:name w:val="wacimagecontainer"/>
    <w:basedOn w:val="DefaultParagraphFont"/>
    <w:rsid w:val="000D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09312">
      <w:bodyDiv w:val="1"/>
      <w:marLeft w:val="0"/>
      <w:marRight w:val="0"/>
      <w:marTop w:val="0"/>
      <w:marBottom w:val="0"/>
      <w:divBdr>
        <w:top w:val="none" w:sz="0" w:space="0" w:color="auto"/>
        <w:left w:val="none" w:sz="0" w:space="0" w:color="auto"/>
        <w:bottom w:val="none" w:sz="0" w:space="0" w:color="auto"/>
        <w:right w:val="none" w:sz="0" w:space="0" w:color="auto"/>
      </w:divBdr>
    </w:div>
    <w:div w:id="713774672">
      <w:bodyDiv w:val="1"/>
      <w:marLeft w:val="0"/>
      <w:marRight w:val="0"/>
      <w:marTop w:val="0"/>
      <w:marBottom w:val="0"/>
      <w:divBdr>
        <w:top w:val="none" w:sz="0" w:space="0" w:color="auto"/>
        <w:left w:val="none" w:sz="0" w:space="0" w:color="auto"/>
        <w:bottom w:val="none" w:sz="0" w:space="0" w:color="auto"/>
        <w:right w:val="none" w:sz="0" w:space="0" w:color="auto"/>
      </w:divBdr>
      <w:divsChild>
        <w:div w:id="326716292">
          <w:marLeft w:val="547"/>
          <w:marRight w:val="0"/>
          <w:marTop w:val="0"/>
          <w:marBottom w:val="0"/>
          <w:divBdr>
            <w:top w:val="none" w:sz="0" w:space="0" w:color="auto"/>
            <w:left w:val="none" w:sz="0" w:space="0" w:color="auto"/>
            <w:bottom w:val="none" w:sz="0" w:space="0" w:color="auto"/>
            <w:right w:val="none" w:sz="0" w:space="0" w:color="auto"/>
          </w:divBdr>
        </w:div>
        <w:div w:id="505560161">
          <w:marLeft w:val="547"/>
          <w:marRight w:val="0"/>
          <w:marTop w:val="0"/>
          <w:marBottom w:val="0"/>
          <w:divBdr>
            <w:top w:val="none" w:sz="0" w:space="0" w:color="auto"/>
            <w:left w:val="none" w:sz="0" w:space="0" w:color="auto"/>
            <w:bottom w:val="none" w:sz="0" w:space="0" w:color="auto"/>
            <w:right w:val="none" w:sz="0" w:space="0" w:color="auto"/>
          </w:divBdr>
        </w:div>
        <w:div w:id="1105492848">
          <w:marLeft w:val="547"/>
          <w:marRight w:val="0"/>
          <w:marTop w:val="0"/>
          <w:marBottom w:val="0"/>
          <w:divBdr>
            <w:top w:val="none" w:sz="0" w:space="0" w:color="auto"/>
            <w:left w:val="none" w:sz="0" w:space="0" w:color="auto"/>
            <w:bottom w:val="none" w:sz="0" w:space="0" w:color="auto"/>
            <w:right w:val="none" w:sz="0" w:space="0" w:color="auto"/>
          </w:divBdr>
        </w:div>
        <w:div w:id="1144812456">
          <w:marLeft w:val="547"/>
          <w:marRight w:val="0"/>
          <w:marTop w:val="0"/>
          <w:marBottom w:val="0"/>
          <w:divBdr>
            <w:top w:val="none" w:sz="0" w:space="0" w:color="auto"/>
            <w:left w:val="none" w:sz="0" w:space="0" w:color="auto"/>
            <w:bottom w:val="none" w:sz="0" w:space="0" w:color="auto"/>
            <w:right w:val="none" w:sz="0" w:space="0" w:color="auto"/>
          </w:divBdr>
        </w:div>
        <w:div w:id="1275290071">
          <w:marLeft w:val="547"/>
          <w:marRight w:val="0"/>
          <w:marTop w:val="0"/>
          <w:marBottom w:val="0"/>
          <w:divBdr>
            <w:top w:val="none" w:sz="0" w:space="0" w:color="auto"/>
            <w:left w:val="none" w:sz="0" w:space="0" w:color="auto"/>
            <w:bottom w:val="none" w:sz="0" w:space="0" w:color="auto"/>
            <w:right w:val="none" w:sz="0" w:space="0" w:color="auto"/>
          </w:divBdr>
        </w:div>
      </w:divsChild>
    </w:div>
    <w:div w:id="722213743">
      <w:bodyDiv w:val="1"/>
      <w:marLeft w:val="0"/>
      <w:marRight w:val="0"/>
      <w:marTop w:val="0"/>
      <w:marBottom w:val="0"/>
      <w:divBdr>
        <w:top w:val="none" w:sz="0" w:space="0" w:color="auto"/>
        <w:left w:val="none" w:sz="0" w:space="0" w:color="auto"/>
        <w:bottom w:val="none" w:sz="0" w:space="0" w:color="auto"/>
        <w:right w:val="none" w:sz="0" w:space="0" w:color="auto"/>
      </w:divBdr>
      <w:divsChild>
        <w:div w:id="60569705">
          <w:marLeft w:val="446"/>
          <w:marRight w:val="0"/>
          <w:marTop w:val="0"/>
          <w:marBottom w:val="0"/>
          <w:divBdr>
            <w:top w:val="none" w:sz="0" w:space="0" w:color="auto"/>
            <w:left w:val="none" w:sz="0" w:space="0" w:color="auto"/>
            <w:bottom w:val="none" w:sz="0" w:space="0" w:color="auto"/>
            <w:right w:val="none" w:sz="0" w:space="0" w:color="auto"/>
          </w:divBdr>
        </w:div>
        <w:div w:id="899175579">
          <w:marLeft w:val="446"/>
          <w:marRight w:val="0"/>
          <w:marTop w:val="0"/>
          <w:marBottom w:val="0"/>
          <w:divBdr>
            <w:top w:val="none" w:sz="0" w:space="0" w:color="auto"/>
            <w:left w:val="none" w:sz="0" w:space="0" w:color="auto"/>
            <w:bottom w:val="none" w:sz="0" w:space="0" w:color="auto"/>
            <w:right w:val="none" w:sz="0" w:space="0" w:color="auto"/>
          </w:divBdr>
        </w:div>
        <w:div w:id="2125688117">
          <w:marLeft w:val="446"/>
          <w:marRight w:val="0"/>
          <w:marTop w:val="0"/>
          <w:marBottom w:val="0"/>
          <w:divBdr>
            <w:top w:val="none" w:sz="0" w:space="0" w:color="auto"/>
            <w:left w:val="none" w:sz="0" w:space="0" w:color="auto"/>
            <w:bottom w:val="none" w:sz="0" w:space="0" w:color="auto"/>
            <w:right w:val="none" w:sz="0" w:space="0" w:color="auto"/>
          </w:divBdr>
        </w:div>
      </w:divsChild>
    </w:div>
    <w:div w:id="726033401">
      <w:bodyDiv w:val="1"/>
      <w:marLeft w:val="0"/>
      <w:marRight w:val="0"/>
      <w:marTop w:val="0"/>
      <w:marBottom w:val="0"/>
      <w:divBdr>
        <w:top w:val="none" w:sz="0" w:space="0" w:color="auto"/>
        <w:left w:val="none" w:sz="0" w:space="0" w:color="auto"/>
        <w:bottom w:val="none" w:sz="0" w:space="0" w:color="auto"/>
        <w:right w:val="none" w:sz="0" w:space="0" w:color="auto"/>
      </w:divBdr>
    </w:div>
    <w:div w:id="780151883">
      <w:bodyDiv w:val="1"/>
      <w:marLeft w:val="0"/>
      <w:marRight w:val="0"/>
      <w:marTop w:val="0"/>
      <w:marBottom w:val="0"/>
      <w:divBdr>
        <w:top w:val="none" w:sz="0" w:space="0" w:color="auto"/>
        <w:left w:val="none" w:sz="0" w:space="0" w:color="auto"/>
        <w:bottom w:val="none" w:sz="0" w:space="0" w:color="auto"/>
        <w:right w:val="none" w:sz="0" w:space="0" w:color="auto"/>
      </w:divBdr>
    </w:div>
    <w:div w:id="888880941">
      <w:bodyDiv w:val="1"/>
      <w:marLeft w:val="0"/>
      <w:marRight w:val="0"/>
      <w:marTop w:val="0"/>
      <w:marBottom w:val="0"/>
      <w:divBdr>
        <w:top w:val="none" w:sz="0" w:space="0" w:color="auto"/>
        <w:left w:val="none" w:sz="0" w:space="0" w:color="auto"/>
        <w:bottom w:val="none" w:sz="0" w:space="0" w:color="auto"/>
        <w:right w:val="none" w:sz="0" w:space="0" w:color="auto"/>
      </w:divBdr>
    </w:div>
    <w:div w:id="995456764">
      <w:bodyDiv w:val="1"/>
      <w:marLeft w:val="0"/>
      <w:marRight w:val="0"/>
      <w:marTop w:val="0"/>
      <w:marBottom w:val="0"/>
      <w:divBdr>
        <w:top w:val="none" w:sz="0" w:space="0" w:color="auto"/>
        <w:left w:val="none" w:sz="0" w:space="0" w:color="auto"/>
        <w:bottom w:val="none" w:sz="0" w:space="0" w:color="auto"/>
        <w:right w:val="none" w:sz="0" w:space="0" w:color="auto"/>
      </w:divBdr>
    </w:div>
    <w:div w:id="1070232936">
      <w:bodyDiv w:val="1"/>
      <w:marLeft w:val="0"/>
      <w:marRight w:val="0"/>
      <w:marTop w:val="0"/>
      <w:marBottom w:val="0"/>
      <w:divBdr>
        <w:top w:val="none" w:sz="0" w:space="0" w:color="auto"/>
        <w:left w:val="none" w:sz="0" w:space="0" w:color="auto"/>
        <w:bottom w:val="none" w:sz="0" w:space="0" w:color="auto"/>
        <w:right w:val="none" w:sz="0" w:space="0" w:color="auto"/>
      </w:divBdr>
    </w:div>
    <w:div w:id="1355575259">
      <w:bodyDiv w:val="1"/>
      <w:marLeft w:val="0"/>
      <w:marRight w:val="0"/>
      <w:marTop w:val="0"/>
      <w:marBottom w:val="0"/>
      <w:divBdr>
        <w:top w:val="none" w:sz="0" w:space="0" w:color="auto"/>
        <w:left w:val="none" w:sz="0" w:space="0" w:color="auto"/>
        <w:bottom w:val="none" w:sz="0" w:space="0" w:color="auto"/>
        <w:right w:val="none" w:sz="0" w:space="0" w:color="auto"/>
      </w:divBdr>
    </w:div>
    <w:div w:id="1356883180">
      <w:bodyDiv w:val="1"/>
      <w:marLeft w:val="0"/>
      <w:marRight w:val="0"/>
      <w:marTop w:val="0"/>
      <w:marBottom w:val="0"/>
      <w:divBdr>
        <w:top w:val="none" w:sz="0" w:space="0" w:color="auto"/>
        <w:left w:val="none" w:sz="0" w:space="0" w:color="auto"/>
        <w:bottom w:val="none" w:sz="0" w:space="0" w:color="auto"/>
        <w:right w:val="none" w:sz="0" w:space="0" w:color="auto"/>
      </w:divBdr>
    </w:div>
    <w:div w:id="1748844765">
      <w:bodyDiv w:val="1"/>
      <w:marLeft w:val="0"/>
      <w:marRight w:val="0"/>
      <w:marTop w:val="0"/>
      <w:marBottom w:val="0"/>
      <w:divBdr>
        <w:top w:val="none" w:sz="0" w:space="0" w:color="auto"/>
        <w:left w:val="none" w:sz="0" w:space="0" w:color="auto"/>
        <w:bottom w:val="none" w:sz="0" w:space="0" w:color="auto"/>
        <w:right w:val="none" w:sz="0" w:space="0" w:color="auto"/>
      </w:divBdr>
      <w:divsChild>
        <w:div w:id="2088457263">
          <w:marLeft w:val="0"/>
          <w:marRight w:val="0"/>
          <w:marTop w:val="0"/>
          <w:marBottom w:val="0"/>
          <w:divBdr>
            <w:top w:val="none" w:sz="0" w:space="0" w:color="auto"/>
            <w:left w:val="none" w:sz="0" w:space="0" w:color="auto"/>
            <w:bottom w:val="none" w:sz="0" w:space="0" w:color="auto"/>
            <w:right w:val="none" w:sz="0" w:space="0" w:color="auto"/>
          </w:divBdr>
          <w:divsChild>
            <w:div w:id="594628894">
              <w:marLeft w:val="0"/>
              <w:marRight w:val="0"/>
              <w:marTop w:val="0"/>
              <w:marBottom w:val="0"/>
              <w:divBdr>
                <w:top w:val="none" w:sz="0" w:space="0" w:color="auto"/>
                <w:left w:val="none" w:sz="0" w:space="0" w:color="auto"/>
                <w:bottom w:val="none" w:sz="0" w:space="0" w:color="auto"/>
                <w:right w:val="none" w:sz="0" w:space="0" w:color="auto"/>
              </w:divBdr>
            </w:div>
          </w:divsChild>
        </w:div>
        <w:div w:id="178130908">
          <w:marLeft w:val="0"/>
          <w:marRight w:val="0"/>
          <w:marTop w:val="0"/>
          <w:marBottom w:val="0"/>
          <w:divBdr>
            <w:top w:val="none" w:sz="0" w:space="0" w:color="auto"/>
            <w:left w:val="none" w:sz="0" w:space="0" w:color="auto"/>
            <w:bottom w:val="none" w:sz="0" w:space="0" w:color="auto"/>
            <w:right w:val="none" w:sz="0" w:space="0" w:color="auto"/>
          </w:divBdr>
          <w:divsChild>
            <w:div w:id="526986423">
              <w:marLeft w:val="0"/>
              <w:marRight w:val="0"/>
              <w:marTop w:val="0"/>
              <w:marBottom w:val="0"/>
              <w:divBdr>
                <w:top w:val="none" w:sz="0" w:space="0" w:color="auto"/>
                <w:left w:val="none" w:sz="0" w:space="0" w:color="auto"/>
                <w:bottom w:val="none" w:sz="0" w:space="0" w:color="auto"/>
                <w:right w:val="none" w:sz="0" w:space="0" w:color="auto"/>
              </w:divBdr>
            </w:div>
          </w:divsChild>
        </w:div>
        <w:div w:id="75328554">
          <w:marLeft w:val="0"/>
          <w:marRight w:val="0"/>
          <w:marTop w:val="0"/>
          <w:marBottom w:val="0"/>
          <w:divBdr>
            <w:top w:val="none" w:sz="0" w:space="0" w:color="auto"/>
            <w:left w:val="none" w:sz="0" w:space="0" w:color="auto"/>
            <w:bottom w:val="none" w:sz="0" w:space="0" w:color="auto"/>
            <w:right w:val="none" w:sz="0" w:space="0" w:color="auto"/>
          </w:divBdr>
          <w:divsChild>
            <w:div w:id="2070152196">
              <w:marLeft w:val="0"/>
              <w:marRight w:val="0"/>
              <w:marTop w:val="0"/>
              <w:marBottom w:val="0"/>
              <w:divBdr>
                <w:top w:val="none" w:sz="0" w:space="0" w:color="auto"/>
                <w:left w:val="none" w:sz="0" w:space="0" w:color="auto"/>
                <w:bottom w:val="none" w:sz="0" w:space="0" w:color="auto"/>
                <w:right w:val="none" w:sz="0" w:space="0" w:color="auto"/>
              </w:divBdr>
            </w:div>
          </w:divsChild>
        </w:div>
        <w:div w:id="85855014">
          <w:marLeft w:val="0"/>
          <w:marRight w:val="0"/>
          <w:marTop w:val="0"/>
          <w:marBottom w:val="0"/>
          <w:divBdr>
            <w:top w:val="none" w:sz="0" w:space="0" w:color="auto"/>
            <w:left w:val="none" w:sz="0" w:space="0" w:color="auto"/>
            <w:bottom w:val="none" w:sz="0" w:space="0" w:color="auto"/>
            <w:right w:val="none" w:sz="0" w:space="0" w:color="auto"/>
          </w:divBdr>
          <w:divsChild>
            <w:div w:id="1073237788">
              <w:marLeft w:val="0"/>
              <w:marRight w:val="0"/>
              <w:marTop w:val="0"/>
              <w:marBottom w:val="0"/>
              <w:divBdr>
                <w:top w:val="none" w:sz="0" w:space="0" w:color="auto"/>
                <w:left w:val="none" w:sz="0" w:space="0" w:color="auto"/>
                <w:bottom w:val="none" w:sz="0" w:space="0" w:color="auto"/>
                <w:right w:val="none" w:sz="0" w:space="0" w:color="auto"/>
              </w:divBdr>
            </w:div>
          </w:divsChild>
        </w:div>
        <w:div w:id="2046904199">
          <w:marLeft w:val="0"/>
          <w:marRight w:val="0"/>
          <w:marTop w:val="0"/>
          <w:marBottom w:val="0"/>
          <w:divBdr>
            <w:top w:val="none" w:sz="0" w:space="0" w:color="auto"/>
            <w:left w:val="none" w:sz="0" w:space="0" w:color="auto"/>
            <w:bottom w:val="none" w:sz="0" w:space="0" w:color="auto"/>
            <w:right w:val="none" w:sz="0" w:space="0" w:color="auto"/>
          </w:divBdr>
          <w:divsChild>
            <w:div w:id="865295440">
              <w:marLeft w:val="0"/>
              <w:marRight w:val="0"/>
              <w:marTop w:val="0"/>
              <w:marBottom w:val="0"/>
              <w:divBdr>
                <w:top w:val="none" w:sz="0" w:space="0" w:color="auto"/>
                <w:left w:val="none" w:sz="0" w:space="0" w:color="auto"/>
                <w:bottom w:val="none" w:sz="0" w:space="0" w:color="auto"/>
                <w:right w:val="none" w:sz="0" w:space="0" w:color="auto"/>
              </w:divBdr>
            </w:div>
          </w:divsChild>
        </w:div>
        <w:div w:id="897518618">
          <w:marLeft w:val="0"/>
          <w:marRight w:val="0"/>
          <w:marTop w:val="0"/>
          <w:marBottom w:val="0"/>
          <w:divBdr>
            <w:top w:val="none" w:sz="0" w:space="0" w:color="auto"/>
            <w:left w:val="none" w:sz="0" w:space="0" w:color="auto"/>
            <w:bottom w:val="none" w:sz="0" w:space="0" w:color="auto"/>
            <w:right w:val="none" w:sz="0" w:space="0" w:color="auto"/>
          </w:divBdr>
          <w:divsChild>
            <w:div w:id="889265612">
              <w:marLeft w:val="0"/>
              <w:marRight w:val="0"/>
              <w:marTop w:val="0"/>
              <w:marBottom w:val="0"/>
              <w:divBdr>
                <w:top w:val="none" w:sz="0" w:space="0" w:color="auto"/>
                <w:left w:val="none" w:sz="0" w:space="0" w:color="auto"/>
                <w:bottom w:val="none" w:sz="0" w:space="0" w:color="auto"/>
                <w:right w:val="none" w:sz="0" w:space="0" w:color="auto"/>
              </w:divBdr>
            </w:div>
          </w:divsChild>
        </w:div>
        <w:div w:id="1351680372">
          <w:marLeft w:val="0"/>
          <w:marRight w:val="0"/>
          <w:marTop w:val="0"/>
          <w:marBottom w:val="0"/>
          <w:divBdr>
            <w:top w:val="none" w:sz="0" w:space="0" w:color="auto"/>
            <w:left w:val="none" w:sz="0" w:space="0" w:color="auto"/>
            <w:bottom w:val="none" w:sz="0" w:space="0" w:color="auto"/>
            <w:right w:val="none" w:sz="0" w:space="0" w:color="auto"/>
          </w:divBdr>
          <w:divsChild>
            <w:div w:id="1543008896">
              <w:marLeft w:val="0"/>
              <w:marRight w:val="0"/>
              <w:marTop w:val="0"/>
              <w:marBottom w:val="0"/>
              <w:divBdr>
                <w:top w:val="none" w:sz="0" w:space="0" w:color="auto"/>
                <w:left w:val="none" w:sz="0" w:space="0" w:color="auto"/>
                <w:bottom w:val="none" w:sz="0" w:space="0" w:color="auto"/>
                <w:right w:val="none" w:sz="0" w:space="0" w:color="auto"/>
              </w:divBdr>
            </w:div>
          </w:divsChild>
        </w:div>
        <w:div w:id="516818505">
          <w:marLeft w:val="0"/>
          <w:marRight w:val="0"/>
          <w:marTop w:val="0"/>
          <w:marBottom w:val="0"/>
          <w:divBdr>
            <w:top w:val="none" w:sz="0" w:space="0" w:color="auto"/>
            <w:left w:val="none" w:sz="0" w:space="0" w:color="auto"/>
            <w:bottom w:val="none" w:sz="0" w:space="0" w:color="auto"/>
            <w:right w:val="none" w:sz="0" w:space="0" w:color="auto"/>
          </w:divBdr>
          <w:divsChild>
            <w:div w:id="1463232779">
              <w:marLeft w:val="0"/>
              <w:marRight w:val="0"/>
              <w:marTop w:val="0"/>
              <w:marBottom w:val="0"/>
              <w:divBdr>
                <w:top w:val="none" w:sz="0" w:space="0" w:color="auto"/>
                <w:left w:val="none" w:sz="0" w:space="0" w:color="auto"/>
                <w:bottom w:val="none" w:sz="0" w:space="0" w:color="auto"/>
                <w:right w:val="none" w:sz="0" w:space="0" w:color="auto"/>
              </w:divBdr>
            </w:div>
          </w:divsChild>
        </w:div>
        <w:div w:id="759521143">
          <w:marLeft w:val="0"/>
          <w:marRight w:val="0"/>
          <w:marTop w:val="0"/>
          <w:marBottom w:val="0"/>
          <w:divBdr>
            <w:top w:val="none" w:sz="0" w:space="0" w:color="auto"/>
            <w:left w:val="none" w:sz="0" w:space="0" w:color="auto"/>
            <w:bottom w:val="none" w:sz="0" w:space="0" w:color="auto"/>
            <w:right w:val="none" w:sz="0" w:space="0" w:color="auto"/>
          </w:divBdr>
          <w:divsChild>
            <w:div w:id="888998879">
              <w:marLeft w:val="0"/>
              <w:marRight w:val="0"/>
              <w:marTop w:val="0"/>
              <w:marBottom w:val="0"/>
              <w:divBdr>
                <w:top w:val="none" w:sz="0" w:space="0" w:color="auto"/>
                <w:left w:val="none" w:sz="0" w:space="0" w:color="auto"/>
                <w:bottom w:val="none" w:sz="0" w:space="0" w:color="auto"/>
                <w:right w:val="none" w:sz="0" w:space="0" w:color="auto"/>
              </w:divBdr>
            </w:div>
            <w:div w:id="1836384958">
              <w:marLeft w:val="0"/>
              <w:marRight w:val="0"/>
              <w:marTop w:val="0"/>
              <w:marBottom w:val="0"/>
              <w:divBdr>
                <w:top w:val="none" w:sz="0" w:space="0" w:color="auto"/>
                <w:left w:val="none" w:sz="0" w:space="0" w:color="auto"/>
                <w:bottom w:val="none" w:sz="0" w:space="0" w:color="auto"/>
                <w:right w:val="none" w:sz="0" w:space="0" w:color="auto"/>
              </w:divBdr>
            </w:div>
          </w:divsChild>
        </w:div>
        <w:div w:id="1847867283">
          <w:marLeft w:val="0"/>
          <w:marRight w:val="0"/>
          <w:marTop w:val="0"/>
          <w:marBottom w:val="0"/>
          <w:divBdr>
            <w:top w:val="none" w:sz="0" w:space="0" w:color="auto"/>
            <w:left w:val="none" w:sz="0" w:space="0" w:color="auto"/>
            <w:bottom w:val="none" w:sz="0" w:space="0" w:color="auto"/>
            <w:right w:val="none" w:sz="0" w:space="0" w:color="auto"/>
          </w:divBdr>
          <w:divsChild>
            <w:div w:id="176623116">
              <w:marLeft w:val="0"/>
              <w:marRight w:val="0"/>
              <w:marTop w:val="0"/>
              <w:marBottom w:val="0"/>
              <w:divBdr>
                <w:top w:val="none" w:sz="0" w:space="0" w:color="auto"/>
                <w:left w:val="none" w:sz="0" w:space="0" w:color="auto"/>
                <w:bottom w:val="none" w:sz="0" w:space="0" w:color="auto"/>
                <w:right w:val="none" w:sz="0" w:space="0" w:color="auto"/>
              </w:divBdr>
            </w:div>
          </w:divsChild>
        </w:div>
        <w:div w:id="1073697181">
          <w:marLeft w:val="0"/>
          <w:marRight w:val="0"/>
          <w:marTop w:val="0"/>
          <w:marBottom w:val="0"/>
          <w:divBdr>
            <w:top w:val="none" w:sz="0" w:space="0" w:color="auto"/>
            <w:left w:val="none" w:sz="0" w:space="0" w:color="auto"/>
            <w:bottom w:val="none" w:sz="0" w:space="0" w:color="auto"/>
            <w:right w:val="none" w:sz="0" w:space="0" w:color="auto"/>
          </w:divBdr>
          <w:divsChild>
            <w:div w:id="1825199869">
              <w:marLeft w:val="0"/>
              <w:marRight w:val="0"/>
              <w:marTop w:val="0"/>
              <w:marBottom w:val="0"/>
              <w:divBdr>
                <w:top w:val="none" w:sz="0" w:space="0" w:color="auto"/>
                <w:left w:val="none" w:sz="0" w:space="0" w:color="auto"/>
                <w:bottom w:val="none" w:sz="0" w:space="0" w:color="auto"/>
                <w:right w:val="none" w:sz="0" w:space="0" w:color="auto"/>
              </w:divBdr>
            </w:div>
            <w:div w:id="1813592611">
              <w:marLeft w:val="0"/>
              <w:marRight w:val="0"/>
              <w:marTop w:val="0"/>
              <w:marBottom w:val="0"/>
              <w:divBdr>
                <w:top w:val="none" w:sz="0" w:space="0" w:color="auto"/>
                <w:left w:val="none" w:sz="0" w:space="0" w:color="auto"/>
                <w:bottom w:val="none" w:sz="0" w:space="0" w:color="auto"/>
                <w:right w:val="none" w:sz="0" w:space="0" w:color="auto"/>
              </w:divBdr>
            </w:div>
            <w:div w:id="228545033">
              <w:marLeft w:val="0"/>
              <w:marRight w:val="0"/>
              <w:marTop w:val="0"/>
              <w:marBottom w:val="0"/>
              <w:divBdr>
                <w:top w:val="none" w:sz="0" w:space="0" w:color="auto"/>
                <w:left w:val="none" w:sz="0" w:space="0" w:color="auto"/>
                <w:bottom w:val="none" w:sz="0" w:space="0" w:color="auto"/>
                <w:right w:val="none" w:sz="0" w:space="0" w:color="auto"/>
              </w:divBdr>
            </w:div>
          </w:divsChild>
        </w:div>
        <w:div w:id="930165134">
          <w:marLeft w:val="0"/>
          <w:marRight w:val="0"/>
          <w:marTop w:val="0"/>
          <w:marBottom w:val="0"/>
          <w:divBdr>
            <w:top w:val="none" w:sz="0" w:space="0" w:color="auto"/>
            <w:left w:val="none" w:sz="0" w:space="0" w:color="auto"/>
            <w:bottom w:val="none" w:sz="0" w:space="0" w:color="auto"/>
            <w:right w:val="none" w:sz="0" w:space="0" w:color="auto"/>
          </w:divBdr>
          <w:divsChild>
            <w:div w:id="243076805">
              <w:marLeft w:val="0"/>
              <w:marRight w:val="0"/>
              <w:marTop w:val="0"/>
              <w:marBottom w:val="0"/>
              <w:divBdr>
                <w:top w:val="none" w:sz="0" w:space="0" w:color="auto"/>
                <w:left w:val="none" w:sz="0" w:space="0" w:color="auto"/>
                <w:bottom w:val="none" w:sz="0" w:space="0" w:color="auto"/>
                <w:right w:val="none" w:sz="0" w:space="0" w:color="auto"/>
              </w:divBdr>
            </w:div>
          </w:divsChild>
        </w:div>
        <w:div w:id="264534776">
          <w:marLeft w:val="0"/>
          <w:marRight w:val="0"/>
          <w:marTop w:val="0"/>
          <w:marBottom w:val="0"/>
          <w:divBdr>
            <w:top w:val="none" w:sz="0" w:space="0" w:color="auto"/>
            <w:left w:val="none" w:sz="0" w:space="0" w:color="auto"/>
            <w:bottom w:val="none" w:sz="0" w:space="0" w:color="auto"/>
            <w:right w:val="none" w:sz="0" w:space="0" w:color="auto"/>
          </w:divBdr>
          <w:divsChild>
            <w:div w:id="36123967">
              <w:marLeft w:val="0"/>
              <w:marRight w:val="0"/>
              <w:marTop w:val="0"/>
              <w:marBottom w:val="0"/>
              <w:divBdr>
                <w:top w:val="none" w:sz="0" w:space="0" w:color="auto"/>
                <w:left w:val="none" w:sz="0" w:space="0" w:color="auto"/>
                <w:bottom w:val="none" w:sz="0" w:space="0" w:color="auto"/>
                <w:right w:val="none" w:sz="0" w:space="0" w:color="auto"/>
              </w:divBdr>
            </w:div>
            <w:div w:id="1498226880">
              <w:marLeft w:val="0"/>
              <w:marRight w:val="0"/>
              <w:marTop w:val="0"/>
              <w:marBottom w:val="0"/>
              <w:divBdr>
                <w:top w:val="none" w:sz="0" w:space="0" w:color="auto"/>
                <w:left w:val="none" w:sz="0" w:space="0" w:color="auto"/>
                <w:bottom w:val="none" w:sz="0" w:space="0" w:color="auto"/>
                <w:right w:val="none" w:sz="0" w:space="0" w:color="auto"/>
              </w:divBdr>
            </w:div>
            <w:div w:id="1418552725">
              <w:marLeft w:val="0"/>
              <w:marRight w:val="0"/>
              <w:marTop w:val="0"/>
              <w:marBottom w:val="0"/>
              <w:divBdr>
                <w:top w:val="none" w:sz="0" w:space="0" w:color="auto"/>
                <w:left w:val="none" w:sz="0" w:space="0" w:color="auto"/>
                <w:bottom w:val="none" w:sz="0" w:space="0" w:color="auto"/>
                <w:right w:val="none" w:sz="0" w:space="0" w:color="auto"/>
              </w:divBdr>
            </w:div>
            <w:div w:id="607665256">
              <w:marLeft w:val="0"/>
              <w:marRight w:val="0"/>
              <w:marTop w:val="0"/>
              <w:marBottom w:val="0"/>
              <w:divBdr>
                <w:top w:val="none" w:sz="0" w:space="0" w:color="auto"/>
                <w:left w:val="none" w:sz="0" w:space="0" w:color="auto"/>
                <w:bottom w:val="none" w:sz="0" w:space="0" w:color="auto"/>
                <w:right w:val="none" w:sz="0" w:space="0" w:color="auto"/>
              </w:divBdr>
            </w:div>
            <w:div w:id="1424642291">
              <w:marLeft w:val="0"/>
              <w:marRight w:val="0"/>
              <w:marTop w:val="0"/>
              <w:marBottom w:val="0"/>
              <w:divBdr>
                <w:top w:val="none" w:sz="0" w:space="0" w:color="auto"/>
                <w:left w:val="none" w:sz="0" w:space="0" w:color="auto"/>
                <w:bottom w:val="none" w:sz="0" w:space="0" w:color="auto"/>
                <w:right w:val="none" w:sz="0" w:space="0" w:color="auto"/>
              </w:divBdr>
            </w:div>
          </w:divsChild>
        </w:div>
        <w:div w:id="1635988529">
          <w:marLeft w:val="0"/>
          <w:marRight w:val="0"/>
          <w:marTop w:val="0"/>
          <w:marBottom w:val="0"/>
          <w:divBdr>
            <w:top w:val="none" w:sz="0" w:space="0" w:color="auto"/>
            <w:left w:val="none" w:sz="0" w:space="0" w:color="auto"/>
            <w:bottom w:val="none" w:sz="0" w:space="0" w:color="auto"/>
            <w:right w:val="none" w:sz="0" w:space="0" w:color="auto"/>
          </w:divBdr>
          <w:divsChild>
            <w:div w:id="589781331">
              <w:marLeft w:val="0"/>
              <w:marRight w:val="0"/>
              <w:marTop w:val="0"/>
              <w:marBottom w:val="0"/>
              <w:divBdr>
                <w:top w:val="none" w:sz="0" w:space="0" w:color="auto"/>
                <w:left w:val="none" w:sz="0" w:space="0" w:color="auto"/>
                <w:bottom w:val="none" w:sz="0" w:space="0" w:color="auto"/>
                <w:right w:val="none" w:sz="0" w:space="0" w:color="auto"/>
              </w:divBdr>
            </w:div>
          </w:divsChild>
        </w:div>
        <w:div w:id="938685309">
          <w:marLeft w:val="0"/>
          <w:marRight w:val="0"/>
          <w:marTop w:val="0"/>
          <w:marBottom w:val="0"/>
          <w:divBdr>
            <w:top w:val="none" w:sz="0" w:space="0" w:color="auto"/>
            <w:left w:val="none" w:sz="0" w:space="0" w:color="auto"/>
            <w:bottom w:val="none" w:sz="0" w:space="0" w:color="auto"/>
            <w:right w:val="none" w:sz="0" w:space="0" w:color="auto"/>
          </w:divBdr>
          <w:divsChild>
            <w:div w:id="1550529321">
              <w:marLeft w:val="0"/>
              <w:marRight w:val="0"/>
              <w:marTop w:val="0"/>
              <w:marBottom w:val="0"/>
              <w:divBdr>
                <w:top w:val="none" w:sz="0" w:space="0" w:color="auto"/>
                <w:left w:val="none" w:sz="0" w:space="0" w:color="auto"/>
                <w:bottom w:val="none" w:sz="0" w:space="0" w:color="auto"/>
                <w:right w:val="none" w:sz="0" w:space="0" w:color="auto"/>
              </w:divBdr>
            </w:div>
          </w:divsChild>
        </w:div>
        <w:div w:id="876968468">
          <w:marLeft w:val="0"/>
          <w:marRight w:val="0"/>
          <w:marTop w:val="0"/>
          <w:marBottom w:val="0"/>
          <w:divBdr>
            <w:top w:val="none" w:sz="0" w:space="0" w:color="auto"/>
            <w:left w:val="none" w:sz="0" w:space="0" w:color="auto"/>
            <w:bottom w:val="none" w:sz="0" w:space="0" w:color="auto"/>
            <w:right w:val="none" w:sz="0" w:space="0" w:color="auto"/>
          </w:divBdr>
          <w:divsChild>
            <w:div w:id="1749502609">
              <w:marLeft w:val="0"/>
              <w:marRight w:val="0"/>
              <w:marTop w:val="0"/>
              <w:marBottom w:val="0"/>
              <w:divBdr>
                <w:top w:val="none" w:sz="0" w:space="0" w:color="auto"/>
                <w:left w:val="none" w:sz="0" w:space="0" w:color="auto"/>
                <w:bottom w:val="none" w:sz="0" w:space="0" w:color="auto"/>
                <w:right w:val="none" w:sz="0" w:space="0" w:color="auto"/>
              </w:divBdr>
            </w:div>
          </w:divsChild>
        </w:div>
        <w:div w:id="784467984">
          <w:marLeft w:val="0"/>
          <w:marRight w:val="0"/>
          <w:marTop w:val="0"/>
          <w:marBottom w:val="0"/>
          <w:divBdr>
            <w:top w:val="none" w:sz="0" w:space="0" w:color="auto"/>
            <w:left w:val="none" w:sz="0" w:space="0" w:color="auto"/>
            <w:bottom w:val="none" w:sz="0" w:space="0" w:color="auto"/>
            <w:right w:val="none" w:sz="0" w:space="0" w:color="auto"/>
          </w:divBdr>
          <w:divsChild>
            <w:div w:id="2333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itfood.eu/files/EIT-and-EIT-Food-KPIs-2.0.pdf" TargetMode="External"/><Relationship Id="rId26" Type="http://schemas.openxmlformats.org/officeDocument/2006/relationships/hyperlink" Target="http://eur-lex.europa.eu/legal-content/EN/TXT/?uri=CELEX:32003H0361&amp;locale=en" TargetMode="External"/><Relationship Id="rId39" Type="http://schemas.openxmlformats.org/officeDocument/2006/relationships/hyperlink" Target="https://eur-lex.europa.eu/legal-content/EN/TXT/?uri=CELEX%3A32022D2506" TargetMode="External"/><Relationship Id="rId21" Type="http://schemas.openxmlformats.org/officeDocument/2006/relationships/hyperlink" Target="https://www.eitfood.eu/branding/detailed-guidelines" TargetMode="External"/><Relationship Id="rId34" Type="http://schemas.openxmlformats.org/officeDocument/2006/relationships/hyperlink" Target="https://ec.europa.eu/research/participants/data/support/expert/expert_code_of_conduct.pdf"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itfood.eu/missions" TargetMode="External"/><Relationship Id="rId20" Type="http://schemas.openxmlformats.org/officeDocument/2006/relationships/hyperlink" Target="https://ec.europa.eu/info/funding-tenders/opportunities/docs/2021-2027/common/agr-contr/general-mga_horizon-euratom_en.pdf" TargetMode="External"/><Relationship Id="rId29" Type="http://schemas.openxmlformats.org/officeDocument/2006/relationships/hyperlink" Target="https://www.eitfood.eu/files/PIC-Guidanc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eitfood.eu/missions" TargetMode="External"/><Relationship Id="rId32" Type="http://schemas.openxmlformats.org/officeDocument/2006/relationships/hyperlink" Target="https://ec.europa.eu/info/funding-tenders/opportunities/docs/2021-2027/common/guidance/aga_en.pdf" TargetMode="External"/><Relationship Id="rId37" Type="http://schemas.openxmlformats.org/officeDocument/2006/relationships/hyperlink" Target="https://www.eitfood.eu/open-calls/fast-track-to-market-2024"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itfood.eu/media/documents/EIT_Food_Strategic_Agenda_2021-2027.pdf" TargetMode="External"/><Relationship Id="rId23" Type="http://schemas.openxmlformats.org/officeDocument/2006/relationships/hyperlink" Target="https://ec.europa.eu/info/funding-tenders/opportunities/docs/2021-2027/common/agr-contr/general-mga_horizon-euratom_en.pdf" TargetMode="External"/><Relationship Id="rId28" Type="http://schemas.openxmlformats.org/officeDocument/2006/relationships/hyperlink" Target="http://eur-lex.europa.eu/legal-content/EN/TXT/?uri=CELEX:32003H0361&amp;locale=en" TargetMode="External"/><Relationship Id="rId36" Type="http://schemas.openxmlformats.org/officeDocument/2006/relationships/hyperlink" Target="mailto:fasttrackcall@eitfood.eu" TargetMode="External"/><Relationship Id="rId10" Type="http://schemas.openxmlformats.org/officeDocument/2006/relationships/endnotes" Target="endnotes.xml"/><Relationship Id="rId19" Type="http://schemas.openxmlformats.org/officeDocument/2006/relationships/hyperlink" Target="https://www.eitfood.eu/files/EIT-and-EIT-Food-KPIs-2.0.pdf" TargetMode="External"/><Relationship Id="rId31" Type="http://schemas.openxmlformats.org/officeDocument/2006/relationships/hyperlink" Target="https://ec.europa.eu/info/funding-tenders/opportunities/docs/2021-2027/common/agr-contr/general-mga_horizon-euratom_en.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itfood.eu/files/EIT-Food-IP-Policy-Update-2024_-1.pdf" TargetMode="External"/><Relationship Id="rId27" Type="http://schemas.openxmlformats.org/officeDocument/2006/relationships/hyperlink" Target="https://single-market-economy.ec.europa.eu/smes/sme-fundamentals/sme-definition_en" TargetMode="External"/><Relationship Id="rId30" Type="http://schemas.openxmlformats.org/officeDocument/2006/relationships/hyperlink" Target="https://www.eitfood.eu/files/list-3rd-country-participation_horizon-euratom_en.pdf" TargetMode="External"/><Relationship Id="rId35" Type="http://schemas.openxmlformats.org/officeDocument/2006/relationships/hyperlink" Target="https://www.eitfood.eu/files/EIT-Food-Redress-Mechanism-1.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itfood.eu/missions" TargetMode="External"/><Relationship Id="rId25" Type="http://schemas.openxmlformats.org/officeDocument/2006/relationships/hyperlink" Target="https://ec.europa.eu/growth/smes/sme-definition_en" TargetMode="External"/><Relationship Id="rId33" Type="http://schemas.openxmlformats.org/officeDocument/2006/relationships/hyperlink" Target="https://www.myeitfood.eu/s/xx-call-for-proposals/a1EP5000000yGTJMA2/fast-track-to-market-autumn-2024" TargetMode="External"/><Relationship Id="rId38" Type="http://schemas.openxmlformats.org/officeDocument/2006/relationships/hyperlink" Target="https://ec.europa.eu/commission/presscorner/detail/en/ip_22_1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9EB28F17F134A93BCDBA43642DE8D" ma:contentTypeVersion="13" ma:contentTypeDescription="Create a new document." ma:contentTypeScope="" ma:versionID="216a576898bedcb1fe3e1ddef782d52a">
  <xsd:schema xmlns:xsd="http://www.w3.org/2001/XMLSchema" xmlns:xs="http://www.w3.org/2001/XMLSchema" xmlns:p="http://schemas.microsoft.com/office/2006/metadata/properties" xmlns:ns2="7895ec55-c5cd-4f77-b3b1-b782857c8612" xmlns:ns3="4d9654ca-a8bf-4d8b-a1c0-c6294c230b30" targetNamespace="http://schemas.microsoft.com/office/2006/metadata/properties" ma:root="true" ma:fieldsID="b0badee9a8cfb1acfc9f02874036752b" ns2:_="" ns3:_="">
    <xsd:import namespace="7895ec55-c5cd-4f77-b3b1-b782857c8612"/>
    <xsd:import namespace="4d9654ca-a8bf-4d8b-a1c0-c6294c230b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5ec55-c5cd-4f77-b3b1-b782857c8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9654ca-a8bf-4d8b-a1c0-c6294c230b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d9654ca-a8bf-4d8b-a1c0-c6294c230b30">
      <UserInfo>
        <DisplayName>Adriano Pilla</DisplayName>
        <AccountId>11</AccountId>
        <AccountType/>
      </UserInfo>
    </SharedWithUsers>
    <lcf76f155ced4ddcb4097134ff3c332f xmlns="7895ec55-c5cd-4f77-b3b1-b782857c86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6F47-6B1A-45A3-A349-FA7A84D20560}">
  <ds:schemaRefs>
    <ds:schemaRef ds:uri="http://schemas.microsoft.com/sharepoint/v3/contenttype/forms"/>
  </ds:schemaRefs>
</ds:datastoreItem>
</file>

<file path=customXml/itemProps2.xml><?xml version="1.0" encoding="utf-8"?>
<ds:datastoreItem xmlns:ds="http://schemas.openxmlformats.org/officeDocument/2006/customXml" ds:itemID="{D5BEC43C-159B-4BEF-84AB-292E8D117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5ec55-c5cd-4f77-b3b1-b782857c8612"/>
    <ds:schemaRef ds:uri="4d9654ca-a8bf-4d8b-a1c0-c6294c230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D0FA4-AFDB-423F-9817-A47C870FFD4E}">
  <ds:schemaRefs>
    <ds:schemaRef ds:uri="http://schemas.microsoft.com/office/2006/metadata/properties"/>
    <ds:schemaRef ds:uri="http://schemas.microsoft.com/office/infopath/2007/PartnerControls"/>
    <ds:schemaRef ds:uri="e0328f7b-c02f-4ea0-97fd-2bf2c022ad9b"/>
    <ds:schemaRef ds:uri="e0fc5abd-b47b-47f7-9364-f1ee7ca8282c"/>
    <ds:schemaRef ds:uri="64d2644c-3e8f-476f-bee1-8438476db436"/>
    <ds:schemaRef ds:uri="4d9654ca-a8bf-4d8b-a1c0-c6294c230b30"/>
    <ds:schemaRef ds:uri="7895ec55-c5cd-4f77-b3b1-b782857c8612"/>
  </ds:schemaRefs>
</ds:datastoreItem>
</file>

<file path=customXml/itemProps4.xml><?xml version="1.0" encoding="utf-8"?>
<ds:datastoreItem xmlns:ds="http://schemas.openxmlformats.org/officeDocument/2006/customXml" ds:itemID="{5ED26D4D-5A3D-B243-97AB-75DA352F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4178</Words>
  <Characters>26587</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van Niel</dc:creator>
  <cp:keywords/>
  <dc:description/>
  <cp:lastModifiedBy>Adriano Pilla</cp:lastModifiedBy>
  <cp:revision>5</cp:revision>
  <dcterms:created xsi:type="dcterms:W3CDTF">2024-09-24T07:28:00Z</dcterms:created>
  <dcterms:modified xsi:type="dcterms:W3CDTF">2024-09-25T09:36:00Z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3177f192-0b37-4a9f-ae64-fddd1ce31605</vt:lpwstr>
  </property>
  <property fmtid="{D5CDD505-2E9C-101B-9397-08002B2CF9AE}" pid="3" name="ContentTypeId">
    <vt:lpwstr>0x0101005A09EB28F17F134A93BCDBA43642DE8D</vt:lpwstr>
  </property>
  <property fmtid="{D5CDD505-2E9C-101B-9397-08002B2CF9AE}" pid="4" name="MediaServiceImageTags">
    <vt:lpwstr/>
  </property>
</Properties>
</file>